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shd w:val="clear" w:color="auto" w:fill="FFFFFF"/>
        <w:spacing w:before="0" w:beforeAutospacing="0" w:after="0" w:afterAutospacing="0" w:line="585" w:lineRule="atLeast"/>
        <w:rPr>
          <w:rFonts w:hint="default" w:ascii="黑体" w:hAnsi="黑体" w:eastAsia="黑体" w:cs="仿宋_GB2312"/>
          <w:spacing w:val="-2"/>
          <w:sz w:val="32"/>
          <w:szCs w:val="32"/>
        </w:rPr>
      </w:pPr>
      <w:r>
        <w:rPr>
          <w:rFonts w:ascii="黑体" w:hAnsi="黑体" w:eastAsia="黑体" w:cs="仿宋_GB2312"/>
          <w:spacing w:val="-2"/>
          <w:sz w:val="32"/>
          <w:szCs w:val="32"/>
        </w:rPr>
        <w:t>附件2</w:t>
      </w:r>
    </w:p>
    <w:p>
      <w:pPr>
        <w:pStyle w:val="4"/>
        <w:shd w:val="clear" w:color="auto" w:fill="FFFFFF"/>
        <w:spacing w:before="0" w:beforeAutospacing="0" w:after="0" w:afterAutospacing="0"/>
        <w:jc w:val="center"/>
        <w:rPr>
          <w:rFonts w:hint="default" w:ascii="方正小标宋简体" w:hAnsi="方正小标宋简体" w:eastAsia="方正小标宋简体" w:cs="方正小标宋简体"/>
          <w:spacing w:val="-2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pacing w:val="-2"/>
          <w:sz w:val="32"/>
          <w:szCs w:val="32"/>
        </w:rPr>
        <w:t>自治区政府网站抽查不合格情况</w:t>
      </w:r>
    </w:p>
    <w:p>
      <w:pPr>
        <w:pStyle w:val="4"/>
        <w:shd w:val="clear" w:color="auto" w:fill="FFFFFF"/>
        <w:spacing w:before="0" w:beforeAutospacing="0" w:after="0" w:afterAutospacing="0"/>
        <w:jc w:val="center"/>
        <w:rPr>
          <w:rFonts w:hint="default" w:ascii="仿宋_GB2312" w:eastAsia="仿宋_GB2312" w:cs="仿宋_GB2312"/>
          <w:spacing w:val="-2"/>
          <w:sz w:val="32"/>
          <w:szCs w:val="32"/>
        </w:rPr>
      </w:pPr>
      <w:r>
        <w:rPr>
          <w:rFonts w:ascii="仿宋_GB2312" w:eastAsia="仿宋_GB2312" w:cs="仿宋_GB2312"/>
          <w:spacing w:val="-2"/>
          <w:sz w:val="32"/>
          <w:szCs w:val="32"/>
        </w:rPr>
        <w:t>（202</w:t>
      </w:r>
      <w:r>
        <w:rPr>
          <w:rFonts w:hint="eastAsia" w:ascii="仿宋_GB2312" w:eastAsia="仿宋_GB2312" w:cs="仿宋_GB2312"/>
          <w:spacing w:val="-2"/>
          <w:sz w:val="32"/>
          <w:szCs w:val="32"/>
          <w:lang w:val="en-US" w:eastAsia="zh-CN"/>
        </w:rPr>
        <w:t>4</w:t>
      </w:r>
      <w:r>
        <w:rPr>
          <w:rFonts w:ascii="仿宋_GB2312" w:eastAsia="仿宋_GB2312" w:cs="仿宋_GB2312"/>
          <w:spacing w:val="-2"/>
          <w:sz w:val="32"/>
          <w:szCs w:val="32"/>
        </w:rPr>
        <w:t>年第</w:t>
      </w:r>
      <w:r>
        <w:rPr>
          <w:rFonts w:hint="eastAsia" w:ascii="仿宋_GB2312" w:eastAsia="仿宋_GB2312" w:cs="仿宋_GB2312"/>
          <w:spacing w:val="-2"/>
          <w:sz w:val="32"/>
          <w:szCs w:val="32"/>
          <w:lang w:val="en-US" w:eastAsia="zh-CN"/>
        </w:rPr>
        <w:t>三</w:t>
      </w:r>
      <w:r>
        <w:rPr>
          <w:rFonts w:ascii="仿宋_GB2312" w:eastAsia="仿宋_GB2312" w:cs="仿宋_GB2312"/>
          <w:spacing w:val="-2"/>
          <w:sz w:val="32"/>
          <w:szCs w:val="32"/>
        </w:rPr>
        <w:t>季度）</w:t>
      </w:r>
    </w:p>
    <w:tbl>
      <w:tblPr>
        <w:tblStyle w:val="5"/>
        <w:tblW w:w="8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253"/>
        <w:gridCol w:w="2365"/>
        <w:gridCol w:w="3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tblHeader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首页网址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不合格原因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内蒙古自治区教育厅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https://jyt.nmg.gov.cn/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网站存在弄虚作假行为。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2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内蒙古自治区粮食和物资储备局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http://lsj.nmg.gov.cn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监测时间点前1年内，对网民留言应及时答复处理的政务咨询类栏目存在超过3个月未回应有效留言的现象。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3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包头市民政局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http://mzj.baotou.gov.cn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网站存在弄虚作假行为。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4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兴安盟工业和信息化局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http://gxj.xam.gov.cn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监测时间点前1年内，对网民留言应及时答复处理的政务咨询类栏目存在超过3个月未回应有效留言的现象。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5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通辽市工业和信息化局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gxj.tongliao.gov.cn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监测点前2周内，首页无信息更新。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6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苏尼特右旗人民政府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www.sntyq.gov.cn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空白栏目数量超过（含）5个。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7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内蒙古乌兰察布察哈尔高新技术开发区管理委员会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http://che.wulanchabu.gov.cn/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监测时间点前1年内，对网民留言应及时答复处理的政务咨询类栏目存在超过3个月未回应有效留言的现象。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8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乌拉特前旗人民政府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http://www.wltqq.gov.cn/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网站存在弄虚作假行为。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9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巴彦淖尔市水利局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http://slj.bynr.gov.cn/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网站存在弄虚作假行为。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10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乌海市能源局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http://nyj.wuhai.gov.cn/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监测点前2周内，首页无信息更新。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11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乌海市生态环境局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http://sthjj.wuhai.gov.cn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网站存在非法外链。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12</w:t>
            </w:r>
            <w:bookmarkStart w:id="0" w:name="_GoBack"/>
            <w:bookmarkEnd w:id="0"/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乌兰浩特市人民政府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http://www.wlht.gov.cn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空白栏目数量超过（含）5个。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689EEE-AB48-43EA-B0D7-055BAAE58F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2A2A82E-4AC6-419E-99B4-5911B9A08C5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305A39A-F5EB-4B5F-A380-F59E805EE40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xZGFmZDEwMTM5MmIzNGQ0Yzk3ODAwOWExMmEyMTUifQ=="/>
  </w:docVars>
  <w:rsids>
    <w:rsidRoot w:val="00172A27"/>
    <w:rsid w:val="00172A27"/>
    <w:rsid w:val="00467C37"/>
    <w:rsid w:val="00477F2C"/>
    <w:rsid w:val="0049657D"/>
    <w:rsid w:val="007F0EF5"/>
    <w:rsid w:val="009B43D8"/>
    <w:rsid w:val="00B044D1"/>
    <w:rsid w:val="00B51FDC"/>
    <w:rsid w:val="00BE78DA"/>
    <w:rsid w:val="00E23B8D"/>
    <w:rsid w:val="00F82943"/>
    <w:rsid w:val="01CA2099"/>
    <w:rsid w:val="035747D1"/>
    <w:rsid w:val="04673EEC"/>
    <w:rsid w:val="09BE3AE3"/>
    <w:rsid w:val="0BAB273F"/>
    <w:rsid w:val="0BD97FDE"/>
    <w:rsid w:val="0D0C0944"/>
    <w:rsid w:val="1163721B"/>
    <w:rsid w:val="12C81DAF"/>
    <w:rsid w:val="162C4936"/>
    <w:rsid w:val="184C6699"/>
    <w:rsid w:val="1B0D0217"/>
    <w:rsid w:val="1E785E99"/>
    <w:rsid w:val="2079591B"/>
    <w:rsid w:val="20CA16AC"/>
    <w:rsid w:val="21D434C6"/>
    <w:rsid w:val="23CF5BBC"/>
    <w:rsid w:val="250B4FC2"/>
    <w:rsid w:val="34A26E7D"/>
    <w:rsid w:val="368B585E"/>
    <w:rsid w:val="39F6372E"/>
    <w:rsid w:val="3A156F18"/>
    <w:rsid w:val="3B350407"/>
    <w:rsid w:val="3F397545"/>
    <w:rsid w:val="47392CE0"/>
    <w:rsid w:val="4A1E6C12"/>
    <w:rsid w:val="543A687D"/>
    <w:rsid w:val="5A4342D1"/>
    <w:rsid w:val="649A3FE5"/>
    <w:rsid w:val="6633128B"/>
    <w:rsid w:val="669A319C"/>
    <w:rsid w:val="6B9728CE"/>
    <w:rsid w:val="6D7A3EBF"/>
    <w:rsid w:val="71A10939"/>
    <w:rsid w:val="748A29A6"/>
    <w:rsid w:val="7A4570B1"/>
    <w:rsid w:val="7BE1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iPriority="0" w:name="Table Simple 1"/>
    <w:lsdException w:qFormat="1" w:uiPriority="0" w:name="Table Simple 2"/>
    <w:lsdException w:qFormat="1" w:uiPriority="0" w:name="Table Simple 3"/>
    <w:lsdException w:qFormat="1" w:uiPriority="0" w:name="Table Classic 1"/>
    <w:lsdException w:qFormat="1" w:uiPriority="0" w:name="Table Classic 2"/>
    <w:lsdException w:qFormat="1" w:uiPriority="0" w:name="Table Classic 3"/>
    <w:lsdException w:qFormat="1" w:uiPriority="0" w:name="Table Classic 4"/>
    <w:lsdException w:qFormat="1" w:uiPriority="0" w:name="Table Colorful 1"/>
    <w:lsdException w:qFormat="1" w:uiPriority="0" w:name="Table Colorful 2"/>
    <w:lsdException w:qFormat="1" w:uiPriority="0" w:name="Table Colorful 3"/>
    <w:lsdException w:qFormat="1" w:uiPriority="0" w:name="Table Columns 1"/>
    <w:lsdException w:qFormat="1" w:uiPriority="0" w:name="Table Columns 2"/>
    <w:lsdException w:qFormat="1" w:uiPriority="0" w:name="Table Columns 3"/>
    <w:lsdException w:qFormat="1" w:uiPriority="0" w:name="Table Columns 4"/>
    <w:lsdException w:qFormat="1" w:uiPriority="0" w:name="Table Columns 5"/>
    <w:lsdException w:qFormat="1" w:uiPriority="0" w:name="Table Grid 1"/>
    <w:lsdException w:qFormat="1" w:uiPriority="0" w:name="Table Grid 2"/>
    <w:lsdException w:qFormat="1" w:uiPriority="0" w:name="Table Grid 3"/>
    <w:lsdException w:qFormat="1" w:uiPriority="0" w:name="Table Grid 4"/>
    <w:lsdException w:qFormat="1" w:uiPriority="0" w:name="Table Grid 5"/>
    <w:lsdException w:qFormat="1" w:uiPriority="0" w:name="Table Grid 6"/>
    <w:lsdException w:qFormat="1" w:uiPriority="0" w:name="Table Grid 7"/>
    <w:lsdException w:qFormat="1" w:uiPriority="0" w:name="Table Grid 8"/>
    <w:lsdException w:qFormat="1" w:uiPriority="0" w:name="Table List 1"/>
    <w:lsdException w:qFormat="1" w:uiPriority="0" w:name="Table List 2"/>
    <w:lsdException w:qFormat="1" w:uiPriority="0" w:name="Table List 3"/>
    <w:lsdException w:qFormat="1" w:uiPriority="0" w:name="Table List 4"/>
    <w:lsdException w:qFormat="1" w:uiPriority="0" w:name="Table List 5"/>
    <w:lsdException w:qFormat="1" w:uiPriority="0" w:name="Table List 6"/>
    <w:lsdException w:qFormat="1" w:uiPriority="0" w:name="Table List 7"/>
    <w:lsdException w:qFormat="1" w:uiPriority="0" w:name="Table List 8"/>
    <w:lsdException w:qFormat="1" w:uiPriority="0" w:name="Table 3D effects 1"/>
    <w:lsdException w:qFormat="1" w:uiPriority="0" w:name="Table 3D effects 2"/>
    <w:lsdException w:qFormat="1" w:uiPriority="0" w:name="Table 3D effects 3"/>
    <w:lsdException w:qFormat="1" w:uiPriority="0" w:name="Table Contemporary"/>
    <w:lsdException w:qFormat="1" w:uiPriority="0" w:name="Table Elegant"/>
    <w:lsdException w:qFormat="1" w:uiPriority="0" w:name="Table Professional"/>
    <w:lsdException w:qFormat="1" w:uiPriority="0" w:name="Table Subtle 1"/>
    <w:lsdException w:qFormat="1" w:uiPriority="0" w:name="Table Subtle 2"/>
    <w:lsdException w:qFormat="1" w:uiPriority="0" w:name="Table Web 1"/>
    <w:lsdException w:qFormat="1" w:uiPriority="0" w:name="Table Web 2"/>
    <w:lsdException w:qFormat="1"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0"/>
    <w:rPr>
      <w:rFonts w:hint="default"/>
      <w:color w:val="0000FF"/>
      <w:sz w:val="24"/>
      <w:szCs w:val="24"/>
      <w:u w:val="single"/>
    </w:rPr>
  </w:style>
  <w:style w:type="character" w:customStyle="1" w:styleId="8">
    <w:name w:val="font01"/>
    <w:unhideWhenUsed/>
    <w:qFormat/>
    <w:uiPriority w:val="0"/>
    <w:rPr>
      <w:rFonts w:hint="eastAsia" w:ascii="宋体" w:hAnsi="宋体" w:eastAsia="宋体" w:cs="宋体"/>
      <w:color w:val="000000"/>
      <w:sz w:val="20"/>
      <w:szCs w:val="20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706</Characters>
  <Lines>2</Lines>
  <Paragraphs>1</Paragraphs>
  <TotalTime>3</TotalTime>
  <ScaleCrop>false</ScaleCrop>
  <LinksUpToDate>false</LinksUpToDate>
  <CharactersWithSpaces>706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2022-09-20T07:58:00Z</dcterms:created>
  <dc:creator>Administrator</dc:creator>
  <cp:lastModifiedBy>哈斯高娃:通知发起人</cp:lastModifiedBy>
  <cp:lastPrinted>2024-09-25T06:41:00Z</cp:lastPrinted>
  <dcterms:modified xsi:type="dcterms:W3CDTF">2024-09-27T02:05:13Z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977988FDBE254D3DB05115D723DE5218_13</vt:lpwstr>
  </property>
</Properties>
</file>