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进一步加快推动氢能产业高质量发展的通知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内政办发〔2024〕24号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</w:pPr>
      <w:bookmarkStart w:id="1" w:name="_GoBack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加快推进氢能产业高质量发展，根据国家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氢能产业有关政策，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人民政府同意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现就有关事宜通知如下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一、提升氢能产业科技创新能力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加强氢能产业基础研究。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支持企业、高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等学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校、科研院所积极申报国家重点研发计划专项及自治区科技重大专项，开展可再生能源制氢控制快速响应、大规模低成本绿氢制储运等基础研究。以大青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实验室等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创新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平台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为抓手，推动可再生能源制氢与应用等关键技术研究。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加强氢能核心技术创新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深入实施科技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突围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工程，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加大政府研发投入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力度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，组织实施一批填补氢能产业核心技术空白的研发项目，重点在上游制备、中游储运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下游应用及装备制造等方面探索降低生产成本的新路径。发挥企业创新主体作用，以产业前沿技术和关键共性技术为导向，大力支持制氢企业与氢能装备企业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链链合作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，加快绿氢制储运用各环节关键核心技术突破。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支持氢能新技术推广应用。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大力支持氢能产业重大技术装备和材料申报国家能源领域首台（套）重大技术装备、重点新材料应用示范、绿色技术等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专项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以科技创新驱动氢能产业提档升级，大力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支持产业链各环节企业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以内蒙古为试验场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推广和使用新技术、新装备、新材料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，放大科技“赋能”效应。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加速新型稀土储氢合金材料、固态储氢装置、离网制氢等成果的产业化进程，探索构网型技术、黑启动技术、智能微网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技术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等在可再生能源制氢领域的应用，推进并网型制氢向离网型制氢发展。构建创新平台载体，开展绿氢装备技术研发、系统集成、标准制定等。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支持氢能装备检测认证平台建设，探索建设氢能产业公共服务平台。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加强专业人才培育。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充分利用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双招双引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科技兴蒙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服务高层次人才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等政策，积极对接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高精尖缺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人才团队，引进高层次氢能创新型人才。推动自治区高等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学校和职业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院校建设氢能相关专业学科，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适度扩大招生规模，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加快培育产业紧缺人才。鼓励开展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产学研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合作，加快培养复合型专业技术创新人才，形成人才合力。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二、加快推进氢能产业发展壮大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优化氢能产业布局。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综合考虑风光资源、土地资源、水资源、电网接入等条件，合理布局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绿氢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项目。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统筹制氢、储运、消纳等环节，实现与工业产业布局的紧密衔接。支持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新能源大基地布局制氢项目，促进新能源消纳。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推动风光制氢项目与绿氢应用项目一体化审批和建设管理。强化绿氢生产用水保障，鼓励优先利用非常规水源制氢。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优化项目运行机制。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积极探索风光发电与制氢负荷高效衔接，优化风机机型匹配、光伏制氢系统设计，为规模化绿氢生产提供技术支撑。完善项目申报、审批、验收等流程和要求，规范项目建设和退出管理，有序推进项目建设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立完善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黑白名单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制度，对项目实施企业实施激励和惩戒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  <w:t>。支持重点企业加快绿氢项目建设进度，推动绿氢产业发展壮大。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壮大氢能装备制造。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建强氢能装备制造产业各环节链条，依托呼包鄂通装备制造基地建设，推动氢能装备制造产业链向中高端迈进。打造氢能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制储运加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产业集群，开展电解水制氢装备、液氢储运装备、输氢管道、加氢装备和氢燃气轮机等研发应用。推进氢燃料电池及核心零部件、氢燃料电池汽车整车产业化，开展各种氢燃料电池汽车车型研发应用。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以产业链建设重点地区和头部企业为目标，加大招商引资力度，加快氢能装备制造产业规模化发展。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三、加快推进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eastAsia="zh-CN"/>
        </w:rPr>
        <w:t>氢能基础设施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大力推动氢气高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效储运。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适度超前布局绿氢基础设施，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推进加氢站建设，鼓励加油、加气、充电站配建加氢站。支持30兆帕和50兆帕压缩氢气长管拖车应用，探索70兆帕车载高压储氢瓶应用，支持大容量车载储氢瓶开发与应用。探索以甲醇液氨为储氢载体的应用，推进液氢储运技术应用。开展固态储氢在加氢站、供能、车辆的试验示范。鼓励企业积极参与和承建绿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储、运、充装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大力推进氢气管道建设。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制定输氢管道发展规划，全面打通内部消纳和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蒙氢外送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通道。重点打造内外联通输送干线，构建灵活上下载支线，形成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一干双环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四出口”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的绿氢管道输送布局。氢气输送管道建设项目全部纳入自治区规划布局，由自治区行业主管部门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参照输气管网项目进行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管理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未纳入自治区规划的管道项目，不得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立项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四、加快推进应用场景试验示范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大力推动绿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氢替代，实现能替尽替。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深入推进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绿氢+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工业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重点实施绿氢耦合化工、绿氢冶金、绿氢炼化，引领工业脱碳，助力工业领域实现绿色转型。加快氢能供应结构低碳化，支持开展工业副产氢提纯利用，鼓励工业副产氢就近消纳，降低氢能产业发展初期用氢成本，为过渡到绿氢替代提供有效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大力推动绿氢应用，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实现能用尽用。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深入推进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绿氢+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交通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，重点在矿区、工业园区等运营强度大、行驶线路固定的场景和城市公交车、物流配送车、环卫车等公共服务领域，大力推广应用氢燃料电池汽车，推动完成氢燃料电池汽车示范城市群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创建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任务。建立氢燃料电池汽车与锂电池纯电动汽车互补发展模式，引导柴油车辆更换为氢燃料电池车，逐步扩大氢燃料电池汽车产业发展规模。探索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绿氢+电力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”、“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绿氢+建筑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，重点在电力和建筑领域开发备用电源、分布式发电、热电联供等绿氢应用场景。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大力推动绿氢转化，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实现能转尽转。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深入推进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绿氢+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转化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，重点发展绿氢制绿色甲醇、绿色合成氨、绿色航煤等，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延伸绿氢产业链、绿色价值链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，打造绿氢产用大区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。加强生物质资源供应服务管理，为延伸绿氢产业链提供安全稳定的资源保障。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大力推动绿氢外输，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实现能输尽输。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深入推进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绿氢+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外输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，重点依托绿氢走廊加强与周边省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（区、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）的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绿氢贸易合作，开展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西氢东送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等重点工程，在干线管道建设外输通道联通点，汇集全区氢源输送至区外用氢市场。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五、加强生产要素保障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</w:rPr>
        <w:t>强化电网保障支撑。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并网型风光制氢一体化项目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上网电量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不超过项目年总发电量的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  <w:t>20%，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按年度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核，原则上每年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月份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上一年度上网电量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；配套的新能源场站可以在电力市场中优先出清，并接受相应时段市场价格；自发自用电量暂不征收系统备用费和政策性交叉补贴。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-6"/>
          <w:sz w:val="32"/>
          <w:szCs w:val="32"/>
          <w:u w:val="none"/>
        </w:rPr>
        <w:t>完善绿氢产业标准体系。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u w:val="none"/>
        </w:rPr>
        <w:t>加强绿氢产业标准化工作，鼓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励产学研用各方积极参与国家标准、地方标准、行业标准的制定，重点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参与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制定可再生能源制氢、氢气品质检测、氢能管道、加氢站等方面标准，为绿氢产业发展提供支撑。提高绿氢产业标准的应用水平，严格执行强制性标准，积极采用推荐性标准。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各地区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各有关部门要切实加强领导，按照职能职责分工负责，积极主动作为，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聚焦氢能产业发展需求，做好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本通知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实施情况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动态监测和定期评估，及时研究解决发现的问题，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推动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eastAsia="zh-CN"/>
        </w:rPr>
        <w:t>各项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</w:rPr>
        <w:t>政策措施落实见效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                            2024年5月30日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  <w:t>（此件公开发布）</w:t>
      </w:r>
    </w:p>
    <w:bookmarkEnd w:id="1"/>
    <w:p>
      <w:pPr>
        <w:pStyle w:val="3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2"/>
        <w:tblW w:w="8938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38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48" w:firstLineChars="410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pacing w:val="0"/>
                <w:sz w:val="28"/>
              </w:rPr>
              <w:t>自治区人大常委会办公厅、</w:t>
            </w:r>
            <w:r>
              <w:rPr>
                <w:rFonts w:hint="eastAsia" w:ascii="仿宋_GB2312" w:eastAsia="仿宋_GB2312"/>
                <w:spacing w:val="-6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pacing w:val="-6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8" w:type="dxa"/>
            <w:noWrap w:val="0"/>
            <w:vAlign w:val="top"/>
          </w:tcPr>
          <w:p>
            <w:pPr>
              <w:ind w:right="101" w:rightChars="48"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186055</wp:posOffset>
            </wp:positionV>
            <wp:extent cx="1776095" cy="523240"/>
            <wp:effectExtent l="0" t="0" r="14605" b="10160"/>
            <wp:wrapSquare wrapText="bothSides"/>
            <wp:docPr id="1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9452" w:y="-23"/>
      <w:rPr>
        <w:rStyle w:val="1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1892" w:y="-23"/>
      <w:rPr>
        <w:rStyle w:val="1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48CC"/>
    <w:rsid w:val="0001572E"/>
    <w:rsid w:val="0001671F"/>
    <w:rsid w:val="0001751F"/>
    <w:rsid w:val="00017973"/>
    <w:rsid w:val="00017C56"/>
    <w:rsid w:val="00017C8E"/>
    <w:rsid w:val="00017F0C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4AAB"/>
    <w:rsid w:val="00076F96"/>
    <w:rsid w:val="00082970"/>
    <w:rsid w:val="0008397E"/>
    <w:rsid w:val="00090E87"/>
    <w:rsid w:val="00090EB2"/>
    <w:rsid w:val="00091065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33FD"/>
    <w:rsid w:val="000D46E6"/>
    <w:rsid w:val="000D4B7C"/>
    <w:rsid w:val="000E189F"/>
    <w:rsid w:val="000E242A"/>
    <w:rsid w:val="000E2DE0"/>
    <w:rsid w:val="000E4A4D"/>
    <w:rsid w:val="000E5531"/>
    <w:rsid w:val="000E6931"/>
    <w:rsid w:val="000E7F78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5C3C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4CC2"/>
    <w:rsid w:val="00137385"/>
    <w:rsid w:val="00140625"/>
    <w:rsid w:val="00141687"/>
    <w:rsid w:val="00142107"/>
    <w:rsid w:val="00143758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69"/>
    <w:rsid w:val="001D62F3"/>
    <w:rsid w:val="001E1712"/>
    <w:rsid w:val="001E3AE1"/>
    <w:rsid w:val="001E4564"/>
    <w:rsid w:val="001E463E"/>
    <w:rsid w:val="001E48FC"/>
    <w:rsid w:val="001E51E8"/>
    <w:rsid w:val="001E5754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B9B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2D4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E55D9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4576B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494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27EB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E7966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4AB3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2779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0B20"/>
    <w:rsid w:val="005216DB"/>
    <w:rsid w:val="00522BE1"/>
    <w:rsid w:val="00525134"/>
    <w:rsid w:val="00527055"/>
    <w:rsid w:val="00527860"/>
    <w:rsid w:val="005302E8"/>
    <w:rsid w:val="005355C1"/>
    <w:rsid w:val="00537C60"/>
    <w:rsid w:val="005403BB"/>
    <w:rsid w:val="00540508"/>
    <w:rsid w:val="00541462"/>
    <w:rsid w:val="00545692"/>
    <w:rsid w:val="00545900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5376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D4A7B"/>
    <w:rsid w:val="005E0DCD"/>
    <w:rsid w:val="005E5234"/>
    <w:rsid w:val="005E7F3F"/>
    <w:rsid w:val="005F29F1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3367"/>
    <w:rsid w:val="0063404D"/>
    <w:rsid w:val="00637C57"/>
    <w:rsid w:val="00640710"/>
    <w:rsid w:val="00642967"/>
    <w:rsid w:val="00643C82"/>
    <w:rsid w:val="0064774E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B6188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66D83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1DF8"/>
    <w:rsid w:val="00814958"/>
    <w:rsid w:val="008149CF"/>
    <w:rsid w:val="00816CA5"/>
    <w:rsid w:val="00817FC3"/>
    <w:rsid w:val="00823E54"/>
    <w:rsid w:val="008244BB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A7D03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2131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77F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5D06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2FAC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34CE7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57DEF"/>
    <w:rsid w:val="00B6035B"/>
    <w:rsid w:val="00B64E58"/>
    <w:rsid w:val="00B666ED"/>
    <w:rsid w:val="00B70DED"/>
    <w:rsid w:val="00B713FA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32E3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97C5A"/>
    <w:rsid w:val="00CA30D7"/>
    <w:rsid w:val="00CA4F90"/>
    <w:rsid w:val="00CA7846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21D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773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20D3"/>
    <w:rsid w:val="00D44386"/>
    <w:rsid w:val="00D444F3"/>
    <w:rsid w:val="00D4554B"/>
    <w:rsid w:val="00D530AF"/>
    <w:rsid w:val="00D54B07"/>
    <w:rsid w:val="00D55776"/>
    <w:rsid w:val="00D57267"/>
    <w:rsid w:val="00D60772"/>
    <w:rsid w:val="00D60878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572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6C64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4603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551A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B8E"/>
    <w:rsid w:val="00F72D68"/>
    <w:rsid w:val="00F72EFC"/>
    <w:rsid w:val="00F768AB"/>
    <w:rsid w:val="00F76A08"/>
    <w:rsid w:val="00F81D9A"/>
    <w:rsid w:val="00F85DCD"/>
    <w:rsid w:val="00F875D2"/>
    <w:rsid w:val="00F90490"/>
    <w:rsid w:val="00F9269E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095F"/>
    <w:rsid w:val="00FF1779"/>
    <w:rsid w:val="00FF1981"/>
    <w:rsid w:val="00FF2340"/>
    <w:rsid w:val="00FF60C7"/>
    <w:rsid w:val="00FF7392"/>
    <w:rsid w:val="011B684E"/>
    <w:rsid w:val="023B43DC"/>
    <w:rsid w:val="04F06EFC"/>
    <w:rsid w:val="05053AC7"/>
    <w:rsid w:val="05462E4F"/>
    <w:rsid w:val="074D26E8"/>
    <w:rsid w:val="08185CD4"/>
    <w:rsid w:val="099C5089"/>
    <w:rsid w:val="10AA3895"/>
    <w:rsid w:val="110F26B1"/>
    <w:rsid w:val="117F71CE"/>
    <w:rsid w:val="13404ED0"/>
    <w:rsid w:val="154C3FFA"/>
    <w:rsid w:val="1A7D41CF"/>
    <w:rsid w:val="1C0E21E5"/>
    <w:rsid w:val="1CAD4C2F"/>
    <w:rsid w:val="1F932697"/>
    <w:rsid w:val="1FD3237E"/>
    <w:rsid w:val="21CE0EBF"/>
    <w:rsid w:val="24485B15"/>
    <w:rsid w:val="2B135004"/>
    <w:rsid w:val="2BB9400A"/>
    <w:rsid w:val="2EFC295F"/>
    <w:rsid w:val="2FDDD602"/>
    <w:rsid w:val="322D6746"/>
    <w:rsid w:val="325F5D3D"/>
    <w:rsid w:val="3A851764"/>
    <w:rsid w:val="3EA97209"/>
    <w:rsid w:val="43B61CB1"/>
    <w:rsid w:val="456E4695"/>
    <w:rsid w:val="45E01A46"/>
    <w:rsid w:val="47903C8B"/>
    <w:rsid w:val="4A456A7E"/>
    <w:rsid w:val="4BB12688"/>
    <w:rsid w:val="4BF7ED5E"/>
    <w:rsid w:val="4E084DF5"/>
    <w:rsid w:val="50022206"/>
    <w:rsid w:val="51650C56"/>
    <w:rsid w:val="51762C52"/>
    <w:rsid w:val="53F668B3"/>
    <w:rsid w:val="5425443B"/>
    <w:rsid w:val="555D23AD"/>
    <w:rsid w:val="59903932"/>
    <w:rsid w:val="5BAE3879"/>
    <w:rsid w:val="5BB11256"/>
    <w:rsid w:val="5D3B5047"/>
    <w:rsid w:val="5E74586A"/>
    <w:rsid w:val="64B86B45"/>
    <w:rsid w:val="651C285A"/>
    <w:rsid w:val="67834330"/>
    <w:rsid w:val="69ED15EA"/>
    <w:rsid w:val="6CCA5BE8"/>
    <w:rsid w:val="6F2C465B"/>
    <w:rsid w:val="726F50A4"/>
    <w:rsid w:val="742408A1"/>
    <w:rsid w:val="74441501"/>
    <w:rsid w:val="76227CC3"/>
    <w:rsid w:val="777072D3"/>
    <w:rsid w:val="77ADA004"/>
    <w:rsid w:val="7BFF495B"/>
    <w:rsid w:val="7D164783"/>
    <w:rsid w:val="7E960D71"/>
    <w:rsid w:val="8CDBFE31"/>
    <w:rsid w:val="92EBF4B3"/>
    <w:rsid w:val="9B3F0A3D"/>
    <w:rsid w:val="9CFF600F"/>
    <w:rsid w:val="B3DBAF71"/>
    <w:rsid w:val="B7FF2091"/>
    <w:rsid w:val="DFCB61A4"/>
    <w:rsid w:val="E3B1DBFC"/>
    <w:rsid w:val="EFDD30C8"/>
    <w:rsid w:val="EFEAE3D5"/>
    <w:rsid w:val="F7FB5855"/>
    <w:rsid w:val="F9FF89A2"/>
    <w:rsid w:val="FFFEB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index 9"/>
    <w:next w:val="1"/>
    <w:uiPriority w:val="0"/>
    <w:pPr>
      <w:widowControl w:val="0"/>
      <w:ind w:left="336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  <w:lang w:bidi="ar-SA"/>
    </w:r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tabs>
        <w:tab w:val="left" w:pos="1980"/>
      </w:tabs>
      <w:suppressAutoHyphens/>
      <w:bidi w:val="0"/>
      <w:ind w:firstLine="645"/>
    </w:pPr>
    <w:rPr>
      <w:rFonts w:ascii="宋体" w:hAnsi="宋体" w:eastAsia="宋体" w:cs="Arial"/>
      <w:color w:val="auto"/>
      <w:sz w:val="32"/>
      <w:szCs w:val="32"/>
      <w:lang w:bidi="ar-SA"/>
    </w:rPr>
  </w:style>
  <w:style w:type="paragraph" w:styleId="8">
    <w:name w:val="Date"/>
    <w:basedOn w:val="1"/>
    <w:next w:val="1"/>
    <w:link w:val="16"/>
    <w:uiPriority w:val="0"/>
    <w:pPr>
      <w:ind w:left="100" w:leftChars="2500"/>
    </w:pPr>
    <w:rPr>
      <w:rFonts w:ascii="仿宋_GB2312" w:eastAsia="仿宋_GB2312"/>
      <w:sz w:val="32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page number"/>
    <w:basedOn w:val="14"/>
    <w:uiPriority w:val="0"/>
  </w:style>
  <w:style w:type="character" w:customStyle="1" w:styleId="16">
    <w:name w:val=" Char Char2"/>
    <w:basedOn w:val="14"/>
    <w:link w:val="8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7">
    <w:name w:val=" Char Char"/>
    <w:basedOn w:val="14"/>
    <w:link w:val="10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1"/>
    <w:basedOn w:val="14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15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哈斯高娃:返回发起人1</cp:lastModifiedBy>
  <dcterms:modified xsi:type="dcterms:W3CDTF">2024-06-07T08:06:56Z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