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内蒙古自治区人民政府办公厅关于加快</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新能源和电网工程审批建设若干措施的通知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内政办发〔2024〕6号</w:t>
      </w:r>
    </w:p>
    <w:p>
      <w:pPr>
        <w:pStyle w:val="2"/>
        <w:rPr>
          <w:rFonts w:hint="eastAsia"/>
          <w:lang w:eastAsia="zh-CN"/>
        </w:rPr>
      </w:pPr>
    </w:p>
    <w:p>
      <w:pPr>
        <w:pStyle w:val="2"/>
        <w:keepNext w:val="0"/>
        <w:keepLines w:val="0"/>
        <w:pageBreakBefore w:val="0"/>
        <w:widowControl w:val="0"/>
        <w:kinsoku/>
        <w:wordWrap/>
        <w:overflowPunct/>
        <w:topLinePunct/>
        <w:autoSpaceDE/>
        <w:autoSpaceDN/>
        <w:bidi w:val="0"/>
        <w:spacing w:line="580" w:lineRule="exact"/>
        <w:ind w:left="0" w:leftChars="0" w:firstLine="0" w:firstLineChars="0"/>
        <w:textAlignment w:val="auto"/>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autoSpaceDE/>
        <w:autoSpaceDN/>
        <w:bidi w:val="0"/>
        <w:spacing w:line="580" w:lineRule="exact"/>
        <w:ind w:left="0" w:leftChars="0" w:firstLine="0" w:firstLineChars="0"/>
        <w:textAlignment w:val="auto"/>
        <w:rPr>
          <w:rFonts w:hint="eastAsia" w:ascii="仿宋" w:hAnsi="仿宋" w:eastAsia="仿宋" w:cs="仿宋"/>
          <w:color w:val="auto"/>
          <w:sz w:val="32"/>
          <w:szCs w:val="32"/>
          <w:lang w:eastAsia="zh-CN"/>
        </w:rPr>
      </w:pPr>
      <w:bookmarkStart w:id="1" w:name="_GoBack"/>
      <w:r>
        <w:rPr>
          <w:rFonts w:hint="eastAsia" w:ascii="仿宋" w:hAnsi="仿宋" w:eastAsia="仿宋" w:cs="仿宋"/>
          <w:color w:val="auto"/>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为深入贯彻落实自治区党委十一届六次</w:t>
      </w:r>
      <w:r>
        <w:rPr>
          <w:rFonts w:hint="eastAsia" w:ascii="仿宋" w:hAnsi="仿宋" w:eastAsia="仿宋" w:cs="仿宋"/>
          <w:color w:val="auto"/>
          <w:sz w:val="32"/>
          <w:szCs w:val="32"/>
          <w:highlight w:val="none"/>
          <w:shd w:val="clear" w:color="auto" w:fill="FFFFFF"/>
          <w:lang w:eastAsia="zh-CN"/>
        </w:rPr>
        <w:t>全会、自治区党委十一届七次</w:t>
      </w:r>
      <w:r>
        <w:rPr>
          <w:rFonts w:hint="eastAsia" w:ascii="仿宋" w:hAnsi="仿宋" w:eastAsia="仿宋" w:cs="仿宋"/>
          <w:color w:val="auto"/>
          <w:sz w:val="32"/>
          <w:szCs w:val="32"/>
          <w:highlight w:val="none"/>
          <w:shd w:val="clear" w:color="auto" w:fill="FFFFFF"/>
        </w:rPr>
        <w:t>全会</w:t>
      </w:r>
      <w:r>
        <w:rPr>
          <w:rFonts w:hint="eastAsia" w:ascii="仿宋" w:hAnsi="仿宋" w:eastAsia="仿宋" w:cs="仿宋"/>
          <w:color w:val="auto"/>
          <w:sz w:val="32"/>
          <w:szCs w:val="32"/>
          <w:highlight w:val="none"/>
          <w:shd w:val="clear" w:color="auto" w:fill="FFFFFF"/>
          <w:lang w:eastAsia="zh-CN"/>
        </w:rPr>
        <w:t>暨全区经济工作会议和</w:t>
      </w:r>
      <w:r>
        <w:rPr>
          <w:rFonts w:hint="eastAsia" w:ascii="仿宋" w:hAnsi="仿宋" w:eastAsia="仿宋" w:cs="仿宋"/>
          <w:color w:val="auto"/>
          <w:sz w:val="32"/>
          <w:szCs w:val="32"/>
          <w:highlight w:val="none"/>
          <w:shd w:val="clear" w:color="auto" w:fill="FFFFFF"/>
          <w:lang w:val="en-US" w:eastAsia="zh-CN"/>
        </w:rPr>
        <w:t>2024年</w:t>
      </w:r>
      <w:r>
        <w:rPr>
          <w:rFonts w:hint="eastAsia" w:ascii="仿宋" w:hAnsi="仿宋" w:eastAsia="仿宋" w:cs="仿宋"/>
          <w:color w:val="auto"/>
          <w:sz w:val="32"/>
          <w:szCs w:val="32"/>
          <w:highlight w:val="none"/>
          <w:shd w:val="clear" w:color="auto" w:fill="FFFFFF"/>
          <w:lang w:eastAsia="zh-CN"/>
        </w:rPr>
        <w:t>自治区“两会”</w:t>
      </w:r>
      <w:r>
        <w:rPr>
          <w:rFonts w:hint="eastAsia" w:ascii="仿宋" w:hAnsi="仿宋" w:eastAsia="仿宋" w:cs="仿宋"/>
          <w:color w:val="auto"/>
          <w:sz w:val="32"/>
          <w:szCs w:val="32"/>
          <w:highlight w:val="none"/>
          <w:shd w:val="clear" w:color="auto" w:fill="FFFFFF"/>
        </w:rPr>
        <w:t>精神，</w:t>
      </w:r>
      <w:r>
        <w:rPr>
          <w:rFonts w:hint="eastAsia" w:ascii="仿宋" w:hAnsi="仿宋" w:eastAsia="仿宋" w:cs="仿宋"/>
          <w:color w:val="auto"/>
          <w:sz w:val="32"/>
          <w:szCs w:val="32"/>
          <w:highlight w:val="none"/>
        </w:rPr>
        <w:t>加快新能源项目建设，推进新能源高质量全面争先发展，率先构建以新能源为主体的新型电力系统，</w:t>
      </w:r>
      <w:r>
        <w:rPr>
          <w:rFonts w:hint="eastAsia" w:ascii="仿宋" w:hAnsi="仿宋" w:eastAsia="仿宋" w:cs="仿宋"/>
          <w:color w:val="auto"/>
          <w:sz w:val="32"/>
          <w:szCs w:val="32"/>
          <w:highlight w:val="none"/>
          <w:shd w:val="clear" w:color="auto" w:fill="FFFFFF"/>
        </w:rPr>
        <w:t>促进经济社会高质量发展，</w:t>
      </w:r>
      <w:r>
        <w:rPr>
          <w:rFonts w:hint="eastAsia" w:ascii="仿宋" w:hAnsi="仿宋" w:eastAsia="仿宋" w:cs="仿宋"/>
          <w:color w:val="auto"/>
          <w:sz w:val="32"/>
          <w:szCs w:val="32"/>
          <w:highlight w:val="none"/>
          <w:shd w:val="clear" w:color="auto" w:fill="FFFFFF"/>
          <w:lang w:eastAsia="zh-CN"/>
        </w:rPr>
        <w:t>经自治区人民政府同意，现就加快新能源和电网项目审批建设若干措施通知如下。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提升新能源项目前期工作深度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highlight w:val="none"/>
        </w:rPr>
      </w:pPr>
      <w:r>
        <w:rPr>
          <w:rFonts w:hint="eastAsia" w:ascii="仿宋" w:hAnsi="仿宋" w:eastAsia="仿宋" w:cs="仿宋"/>
          <w:color w:val="auto"/>
          <w:sz w:val="32"/>
          <w:szCs w:val="32"/>
          <w:highlight w:val="none"/>
        </w:rPr>
        <w:t>明确新能源项目论证深度</w:t>
      </w:r>
      <w:r>
        <w:rPr>
          <w:rFonts w:hint="eastAsia" w:ascii="仿宋" w:hAnsi="仿宋" w:eastAsia="仿宋" w:cs="仿宋"/>
          <w:color w:val="auto"/>
          <w:sz w:val="32"/>
          <w:szCs w:val="32"/>
          <w:highlight w:val="none"/>
          <w:lang w:eastAsia="zh-CN"/>
        </w:rPr>
        <w:t>、接入系统方案设计研究报告深度</w:t>
      </w:r>
      <w:r>
        <w:rPr>
          <w:rFonts w:hint="eastAsia" w:ascii="仿宋" w:hAnsi="仿宋" w:eastAsia="仿宋" w:cs="仿宋"/>
          <w:color w:val="auto"/>
          <w:sz w:val="32"/>
          <w:szCs w:val="32"/>
          <w:highlight w:val="none"/>
        </w:rPr>
        <w:t>，科学编制新能源</w:t>
      </w:r>
      <w:r>
        <w:rPr>
          <w:rFonts w:hint="eastAsia" w:ascii="仿宋" w:hAnsi="仿宋" w:eastAsia="仿宋" w:cs="仿宋"/>
          <w:color w:val="auto"/>
          <w:sz w:val="32"/>
          <w:szCs w:val="32"/>
          <w:highlight w:val="none"/>
          <w:lang w:eastAsia="zh-CN"/>
        </w:rPr>
        <w:t>和配套电网项目</w:t>
      </w:r>
      <w:r>
        <w:rPr>
          <w:rFonts w:hint="eastAsia" w:ascii="仿宋" w:hAnsi="仿宋" w:eastAsia="仿宋" w:cs="仿宋"/>
          <w:color w:val="auto"/>
          <w:sz w:val="32"/>
          <w:szCs w:val="32"/>
          <w:highlight w:val="none"/>
        </w:rPr>
        <w:t>规划。新能源项目申报纳规</w:t>
      </w:r>
      <w:r>
        <w:rPr>
          <w:rFonts w:hint="eastAsia" w:ascii="仿宋" w:hAnsi="仿宋" w:eastAsia="仿宋" w:cs="仿宋"/>
          <w:color w:val="auto"/>
          <w:spacing w:val="6"/>
          <w:sz w:val="32"/>
          <w:szCs w:val="32"/>
          <w:highlight w:val="none"/>
          <w:lang w:eastAsia="zh-CN"/>
        </w:rPr>
        <w:t>前</w:t>
      </w:r>
      <w:r>
        <w:rPr>
          <w:rFonts w:hint="eastAsia" w:ascii="仿宋" w:hAnsi="仿宋" w:eastAsia="仿宋" w:cs="仿宋"/>
          <w:color w:val="auto"/>
          <w:spacing w:val="6"/>
          <w:sz w:val="32"/>
          <w:szCs w:val="32"/>
          <w:highlight w:val="none"/>
        </w:rPr>
        <w:t>应落实拟选场址，完成敏感</w:t>
      </w:r>
      <w:r>
        <w:rPr>
          <w:rFonts w:hint="eastAsia" w:ascii="仿宋" w:hAnsi="仿宋" w:eastAsia="仿宋" w:cs="仿宋"/>
          <w:color w:val="auto"/>
          <w:spacing w:val="6"/>
          <w:sz w:val="32"/>
          <w:szCs w:val="32"/>
          <w:highlight w:val="none"/>
          <w:lang w:eastAsia="zh-CN"/>
        </w:rPr>
        <w:t>因素</w:t>
      </w:r>
      <w:r>
        <w:rPr>
          <w:rFonts w:hint="eastAsia" w:ascii="仿宋" w:hAnsi="仿宋" w:eastAsia="仿宋" w:cs="仿宋"/>
          <w:color w:val="auto"/>
          <w:spacing w:val="6"/>
          <w:sz w:val="32"/>
          <w:szCs w:val="32"/>
          <w:highlight w:val="none"/>
        </w:rPr>
        <w:t>排查并取得相关支持性文件，</w:t>
      </w:r>
      <w:r>
        <w:rPr>
          <w:rFonts w:hint="eastAsia" w:ascii="仿宋" w:hAnsi="仿宋" w:eastAsia="仿宋" w:cs="仿宋"/>
          <w:color w:val="auto"/>
          <w:sz w:val="32"/>
          <w:szCs w:val="32"/>
          <w:highlight w:val="none"/>
        </w:rPr>
        <w:t>完成投资决策或出具落实投资承诺函，取得电网企业出具的接入系统意见。</w:t>
      </w:r>
      <w:r>
        <w:rPr>
          <w:rFonts w:hint="eastAsia" w:ascii="楷体" w:hAnsi="楷体" w:eastAsia="楷体" w:cs="楷体"/>
          <w:color w:val="auto"/>
          <w:sz w:val="32"/>
          <w:szCs w:val="32"/>
          <w:highlight w:val="none"/>
        </w:rPr>
        <w:t>（责任单位：自治区能源局</w:t>
      </w:r>
      <w:r>
        <w:rPr>
          <w:rFonts w:hint="eastAsia" w:ascii="楷体" w:hAnsi="楷体" w:eastAsia="楷体" w:cs="楷体"/>
          <w:color w:val="auto"/>
          <w:sz w:val="32"/>
          <w:szCs w:val="32"/>
          <w:highlight w:val="none"/>
          <w:lang w:eastAsia="zh-CN"/>
        </w:rPr>
        <w:t>及有关部门单位，地方</w:t>
      </w:r>
      <w:r>
        <w:rPr>
          <w:rFonts w:hint="eastAsia" w:ascii="楷体" w:hAnsi="楷体" w:eastAsia="楷体" w:cs="楷体"/>
          <w:color w:val="auto"/>
          <w:sz w:val="32"/>
          <w:szCs w:val="32"/>
          <w:highlight w:val="none"/>
        </w:rPr>
        <w:t>各级能源主管部门</w:t>
      </w:r>
      <w:r>
        <w:rPr>
          <w:rFonts w:hint="eastAsia" w:ascii="楷体" w:hAnsi="楷体" w:eastAsia="楷体" w:cs="楷体"/>
          <w:color w:val="auto"/>
          <w:sz w:val="32"/>
          <w:szCs w:val="32"/>
          <w:highlight w:val="none"/>
          <w:lang w:eastAsia="zh-CN"/>
        </w:rPr>
        <w:t>，各</w:t>
      </w:r>
      <w:r>
        <w:rPr>
          <w:rFonts w:hint="eastAsia" w:ascii="楷体" w:hAnsi="楷体" w:eastAsia="楷体" w:cs="楷体"/>
          <w:color w:val="auto"/>
          <w:sz w:val="32"/>
          <w:szCs w:val="32"/>
          <w:highlight w:val="none"/>
        </w:rPr>
        <w:t>电网企业</w:t>
      </w:r>
      <w:r>
        <w:rPr>
          <w:rFonts w:hint="eastAsia" w:ascii="楷体" w:hAnsi="楷体" w:eastAsia="楷体" w:cs="楷体"/>
          <w:color w:val="auto"/>
          <w:sz w:val="32"/>
          <w:szCs w:val="32"/>
          <w:highlight w:val="none"/>
          <w:lang w:eastAsia="zh-CN"/>
        </w:rPr>
        <w:t>、发电企业</w:t>
      </w:r>
      <w:r>
        <w:rPr>
          <w:rFonts w:hint="eastAsia" w:ascii="楷体" w:hAnsi="楷体" w:eastAsia="楷体" w:cs="楷体"/>
          <w:color w:val="auto"/>
          <w:sz w:val="32"/>
          <w:szCs w:val="32"/>
          <w:highlight w:val="none"/>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二、推动新能源项目和接网工程同步纳规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highlight w:val="none"/>
        </w:rPr>
      </w:pPr>
      <w:r>
        <w:rPr>
          <w:rFonts w:hint="eastAsia" w:ascii="仿宋" w:hAnsi="仿宋" w:eastAsia="仿宋" w:cs="仿宋"/>
          <w:color w:val="auto"/>
          <w:sz w:val="32"/>
          <w:szCs w:val="32"/>
          <w:highlight w:val="none"/>
        </w:rPr>
        <w:t>配套220千伏</w:t>
      </w:r>
      <w:r>
        <w:rPr>
          <w:rFonts w:hint="eastAsia" w:ascii="仿宋" w:hAnsi="仿宋" w:eastAsia="仿宋" w:cs="仿宋"/>
          <w:color w:val="auto"/>
          <w:sz w:val="32"/>
          <w:szCs w:val="32"/>
          <w:highlight w:val="none"/>
          <w:lang w:eastAsia="zh-CN"/>
        </w:rPr>
        <w:t>及以下</w:t>
      </w:r>
      <w:r>
        <w:rPr>
          <w:rFonts w:hint="eastAsia" w:ascii="仿宋" w:hAnsi="仿宋" w:eastAsia="仿宋" w:cs="仿宋"/>
          <w:color w:val="auto"/>
          <w:sz w:val="32"/>
          <w:szCs w:val="32"/>
          <w:highlight w:val="none"/>
        </w:rPr>
        <w:t>接网工程应与新能源项目同步完成敏感</w:t>
      </w:r>
      <w:r>
        <w:rPr>
          <w:rFonts w:hint="eastAsia" w:ascii="仿宋" w:hAnsi="仿宋" w:eastAsia="仿宋" w:cs="仿宋"/>
          <w:color w:val="auto"/>
          <w:sz w:val="32"/>
          <w:szCs w:val="32"/>
          <w:highlight w:val="none"/>
          <w:lang w:eastAsia="zh-CN"/>
        </w:rPr>
        <w:t>因素</w:t>
      </w:r>
      <w:r>
        <w:rPr>
          <w:rFonts w:hint="eastAsia" w:ascii="仿宋" w:hAnsi="仿宋" w:eastAsia="仿宋" w:cs="仿宋"/>
          <w:color w:val="auto"/>
          <w:sz w:val="32"/>
          <w:szCs w:val="32"/>
          <w:highlight w:val="none"/>
        </w:rPr>
        <w:t>排查</w:t>
      </w:r>
      <w:r>
        <w:rPr>
          <w:rFonts w:hint="eastAsia" w:ascii="仿宋" w:hAnsi="仿宋" w:eastAsia="仿宋" w:cs="仿宋"/>
          <w:color w:val="auto"/>
          <w:sz w:val="32"/>
          <w:szCs w:val="32"/>
          <w:highlight w:val="none"/>
          <w:lang w:eastAsia="zh-CN"/>
        </w:rPr>
        <w:t>和</w:t>
      </w:r>
      <w:r>
        <w:rPr>
          <w:rFonts w:hint="eastAsia" w:ascii="仿宋" w:hAnsi="仿宋" w:eastAsia="仿宋" w:cs="仿宋"/>
          <w:color w:val="auto"/>
          <w:sz w:val="32"/>
          <w:szCs w:val="32"/>
          <w:highlight w:val="none"/>
        </w:rPr>
        <w:t>可行性论证，与新能源项目</w:t>
      </w:r>
      <w:r>
        <w:rPr>
          <w:rFonts w:hint="eastAsia" w:ascii="仿宋" w:hAnsi="仿宋" w:eastAsia="仿宋" w:cs="仿宋"/>
          <w:color w:val="auto"/>
          <w:sz w:val="32"/>
          <w:szCs w:val="32"/>
          <w:highlight w:val="none"/>
          <w:lang w:eastAsia="zh-CN"/>
        </w:rPr>
        <w:t>同步“即报即批”</w:t>
      </w:r>
      <w:r>
        <w:rPr>
          <w:rFonts w:hint="eastAsia" w:ascii="仿宋" w:hAnsi="仿宋" w:eastAsia="仿宋" w:cs="仿宋"/>
          <w:color w:val="auto"/>
          <w:sz w:val="32"/>
          <w:szCs w:val="32"/>
          <w:highlight w:val="none"/>
        </w:rPr>
        <w:t>一并纳入规划；</w:t>
      </w:r>
      <w:r>
        <w:rPr>
          <w:rFonts w:hint="eastAsia" w:ascii="仿宋" w:hAnsi="仿宋" w:eastAsia="仿宋" w:cs="仿宋"/>
          <w:color w:val="auto"/>
          <w:sz w:val="32"/>
          <w:szCs w:val="32"/>
          <w:highlight w:val="none"/>
          <w:lang w:eastAsia="zh-CN"/>
        </w:rPr>
        <w:t>自治区批复的</w:t>
      </w:r>
      <w:r>
        <w:rPr>
          <w:rFonts w:hint="eastAsia" w:ascii="仿宋" w:hAnsi="仿宋" w:eastAsia="仿宋" w:cs="仿宋"/>
          <w:color w:val="auto"/>
          <w:sz w:val="32"/>
          <w:szCs w:val="32"/>
          <w:highlight w:val="none"/>
        </w:rPr>
        <w:t>新能源项目配套500千伏接网工程在新能</w:t>
      </w:r>
      <w:r>
        <w:rPr>
          <w:rFonts w:hint="eastAsia" w:ascii="仿宋" w:hAnsi="仿宋" w:eastAsia="仿宋" w:cs="仿宋"/>
          <w:color w:val="auto"/>
          <w:spacing w:val="6"/>
          <w:sz w:val="32"/>
          <w:szCs w:val="32"/>
          <w:highlight w:val="none"/>
        </w:rPr>
        <w:t>源项目纳规后的30个工作日内</w:t>
      </w:r>
      <w:r>
        <w:rPr>
          <w:rFonts w:hint="eastAsia" w:ascii="仿宋" w:hAnsi="仿宋" w:eastAsia="仿宋" w:cs="仿宋"/>
          <w:color w:val="auto"/>
          <w:spacing w:val="6"/>
          <w:sz w:val="32"/>
          <w:szCs w:val="32"/>
          <w:highlight w:val="none"/>
          <w:lang w:eastAsia="zh-CN"/>
        </w:rPr>
        <w:t>上报国家申请纳规。</w:t>
      </w:r>
      <w:r>
        <w:rPr>
          <w:rFonts w:hint="eastAsia" w:ascii="楷体" w:hAnsi="楷体" w:eastAsia="楷体" w:cs="楷体"/>
          <w:color w:val="auto"/>
          <w:spacing w:val="6"/>
          <w:sz w:val="32"/>
          <w:szCs w:val="32"/>
          <w:highlight w:val="none"/>
        </w:rPr>
        <w:t>（责任单位：</w:t>
      </w:r>
      <w:r>
        <w:rPr>
          <w:rFonts w:hint="eastAsia" w:ascii="楷体" w:hAnsi="楷体" w:eastAsia="楷体" w:cs="楷体"/>
          <w:color w:val="auto"/>
          <w:sz w:val="32"/>
          <w:szCs w:val="32"/>
          <w:highlight w:val="none"/>
        </w:rPr>
        <w:t>自治区能源局</w:t>
      </w:r>
      <w:r>
        <w:rPr>
          <w:rFonts w:hint="eastAsia" w:ascii="楷体" w:hAnsi="楷体" w:eastAsia="楷体" w:cs="楷体"/>
          <w:color w:val="auto"/>
          <w:sz w:val="32"/>
          <w:szCs w:val="32"/>
          <w:highlight w:val="none"/>
          <w:lang w:eastAsia="zh-CN"/>
        </w:rPr>
        <w:t>及有关部门单位，</w:t>
      </w:r>
      <w:r>
        <w:rPr>
          <w:rFonts w:hint="eastAsia" w:ascii="楷体" w:hAnsi="楷体" w:eastAsia="楷体" w:cs="楷体"/>
          <w:color w:val="auto"/>
          <w:sz w:val="32"/>
          <w:szCs w:val="32"/>
          <w:highlight w:val="none"/>
        </w:rPr>
        <w:t>各盟行政公署、市人民政府</w:t>
      </w:r>
      <w:r>
        <w:rPr>
          <w:rFonts w:hint="eastAsia" w:ascii="楷体" w:hAnsi="楷体" w:eastAsia="楷体" w:cs="楷体"/>
          <w:color w:val="auto"/>
          <w:sz w:val="32"/>
          <w:szCs w:val="32"/>
          <w:highlight w:val="none"/>
          <w:lang w:eastAsia="zh-CN"/>
        </w:rPr>
        <w:t>，各</w:t>
      </w:r>
      <w:r>
        <w:rPr>
          <w:rFonts w:hint="eastAsia" w:ascii="楷体" w:hAnsi="楷体" w:eastAsia="楷体" w:cs="楷体"/>
          <w:color w:val="auto"/>
          <w:sz w:val="32"/>
          <w:szCs w:val="32"/>
          <w:highlight w:val="none"/>
        </w:rPr>
        <w:t>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三、推进接网工程同步纳入国土空间规划</w:t>
      </w: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根据自治区电力发展规划调整，电网企业须在规划印发后60天内提出电</w:t>
      </w:r>
      <w:r>
        <w:rPr>
          <w:rFonts w:hint="eastAsia" w:ascii="仿宋" w:hAnsi="仿宋" w:eastAsia="仿宋" w:cs="仿宋"/>
          <w:color w:val="auto"/>
          <w:sz w:val="32"/>
          <w:szCs w:val="32"/>
          <w:highlight w:val="none"/>
          <w:lang w:val="en-US" w:eastAsia="zh-CN"/>
        </w:rPr>
        <w:t>网基础设施建设用地、架空电力线路走廊、电缆通道等空间资源需求，编制电力设施国土空间专项规划，经同级能源、自然资源主管部门联合审核后，报请盟行政公署、市人民政府及旗县（市、区）人民政府批准并纳入同级国土空间详细规划。</w:t>
      </w:r>
      <w:r>
        <w:rPr>
          <w:rFonts w:hint="eastAsia" w:ascii="楷体" w:hAnsi="楷体" w:eastAsia="楷体" w:cs="楷体"/>
          <w:color w:val="auto"/>
          <w:kern w:val="2"/>
          <w:sz w:val="32"/>
          <w:szCs w:val="32"/>
          <w:highlight w:val="none"/>
          <w:lang w:val="en-US" w:eastAsia="zh-CN" w:bidi="ar-SA"/>
        </w:rPr>
        <w:t>（责任单位：自治区能源局、自然资源厅，各盟行政公署、市人民政府，各电网企业按职责分工负责）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四、压减项目前期手续办理环节</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rPr>
        <w:t>新能源和电网项目办理用地、</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用林（草）等各项前期手续，审批部门对申报材料“只补正</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不退回”，</w:t>
      </w:r>
      <w:r>
        <w:rPr>
          <w:rFonts w:hint="eastAsia" w:ascii="仿宋" w:hAnsi="仿宋" w:eastAsia="仿宋" w:cs="仿宋"/>
          <w:color w:val="auto"/>
          <w:sz w:val="32"/>
          <w:szCs w:val="32"/>
          <w:highlight w:val="none"/>
          <w:lang w:eastAsia="zh-CN"/>
        </w:rPr>
        <w:t>对需要补正的申报材料</w:t>
      </w:r>
      <w:r>
        <w:rPr>
          <w:rFonts w:hint="eastAsia" w:ascii="仿宋" w:hAnsi="仿宋" w:eastAsia="仿宋" w:cs="仿宋"/>
          <w:color w:val="auto"/>
          <w:sz w:val="32"/>
          <w:szCs w:val="32"/>
          <w:highlight w:val="none"/>
        </w:rPr>
        <w:t>一次性告知且只补正一次；申报单位一次性完成补正。</w:t>
      </w:r>
      <w:r>
        <w:rPr>
          <w:rFonts w:hint="eastAsia" w:ascii="楷体" w:hAnsi="楷体" w:eastAsia="楷体" w:cs="楷体"/>
          <w:color w:val="auto"/>
          <w:kern w:val="2"/>
          <w:sz w:val="32"/>
          <w:szCs w:val="32"/>
          <w:highlight w:val="none"/>
          <w:lang w:val="en-US" w:eastAsia="zh-CN" w:bidi="ar-SA"/>
        </w:rPr>
        <w:t>（责任单位：自治区各有关部门单位，各电网企业、发电企业按职责分工负责）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五、全面施行前期手续并联审批</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rPr>
        <w:t>新能源和电网项目办理文物调查、社会稳定风险评估、环境影响评价、水土保持方案、洪水影响评价、矿产压覆、生态红线不可避让性评估等各类审批手续时，依</w:t>
      </w:r>
      <w:r>
        <w:rPr>
          <w:rFonts w:hint="eastAsia" w:ascii="仿宋" w:hAnsi="仿宋" w:eastAsia="仿宋" w:cs="仿宋"/>
          <w:color w:val="auto"/>
          <w:sz w:val="32"/>
          <w:szCs w:val="32"/>
          <w:highlight w:val="none"/>
          <w:lang w:eastAsia="zh-CN"/>
        </w:rPr>
        <w:t>据</w:t>
      </w:r>
      <w:r>
        <w:rPr>
          <w:rFonts w:hint="eastAsia" w:ascii="仿宋" w:hAnsi="仿宋" w:eastAsia="仿宋" w:cs="仿宋"/>
          <w:color w:val="auto"/>
          <w:sz w:val="32"/>
          <w:szCs w:val="32"/>
          <w:highlight w:val="none"/>
        </w:rPr>
        <w:t>项目单位申请实行并联审批，除相关法律、法规、国家政策规定</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要件之外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不得互为前置。</w:t>
      </w:r>
      <w:r>
        <w:rPr>
          <w:rFonts w:hint="eastAsia" w:ascii="楷体" w:hAnsi="楷体" w:eastAsia="楷体" w:cs="楷体"/>
          <w:color w:val="auto"/>
          <w:kern w:val="2"/>
          <w:sz w:val="32"/>
          <w:szCs w:val="32"/>
          <w:highlight w:val="none"/>
          <w:lang w:val="en-US" w:eastAsia="zh-CN" w:bidi="ar-SA"/>
        </w:rPr>
        <w:t>（责任单位：自治区各有关部门单位按职责分工负责）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六、做好项目用地交付前期工作</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新能源和电网项目核准（备案）后，旗县（市、区）人民政府在45个工作日内完成土地收储、圈墙清表、文物勘探等工作，实现“净地供应”，项目单位提供资金保障。新能源和电网项目在城镇建设用地规划范围内取得的国有建设用地，对符合条件的（四至清晰、权属无争议、缴纳完相关税费），</w:t>
      </w:r>
      <w:r>
        <w:rPr>
          <w:rFonts w:hint="eastAsia" w:ascii="仿宋" w:hAnsi="仿宋" w:eastAsia="仿宋" w:cs="仿宋"/>
          <w:color w:val="auto"/>
          <w:spacing w:val="-6"/>
          <w:sz w:val="32"/>
          <w:szCs w:val="32"/>
          <w:highlight w:val="none"/>
          <w:lang w:val="en-US" w:eastAsia="zh-CN"/>
        </w:rPr>
        <w:t>全面推行“交地即</w:t>
      </w:r>
      <w:r>
        <w:rPr>
          <w:rFonts w:hint="eastAsia" w:ascii="仿宋" w:hAnsi="仿宋" w:eastAsia="仿宋" w:cs="仿宋"/>
          <w:color w:val="auto"/>
          <w:sz w:val="32"/>
          <w:szCs w:val="32"/>
          <w:highlight w:val="none"/>
          <w:lang w:val="en-US" w:eastAsia="zh-CN"/>
        </w:rPr>
        <w:t>交证”，实现交地与建设用地规划许可证、建设工程规划许可证、</w:t>
      </w:r>
      <w:r>
        <w:rPr>
          <w:rFonts w:hint="eastAsia" w:ascii="仿宋" w:hAnsi="仿宋" w:eastAsia="仿宋" w:cs="仿宋"/>
          <w:color w:val="auto"/>
          <w:spacing w:val="6"/>
          <w:sz w:val="32"/>
          <w:szCs w:val="32"/>
          <w:highlight w:val="none"/>
          <w:lang w:val="en-US" w:eastAsia="zh-CN"/>
        </w:rPr>
        <w:t>不动产权证书同步办理。</w:t>
      </w:r>
      <w:r>
        <w:rPr>
          <w:rFonts w:hint="eastAsia" w:ascii="楷体" w:hAnsi="楷体" w:eastAsia="楷体" w:cs="楷体"/>
          <w:color w:val="auto"/>
          <w:spacing w:val="6"/>
          <w:kern w:val="2"/>
          <w:sz w:val="32"/>
          <w:szCs w:val="32"/>
          <w:highlight w:val="none"/>
          <w:lang w:val="en-US" w:eastAsia="zh-CN" w:bidi="ar-SA"/>
        </w:rPr>
        <w:t>（责任单位：自治区自然资源厅，各盟行政公署、市人民政府，各电网企业、发电企业按职责分工负责）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七、优化新能源、电网项目土地手续办理</w:t>
      </w: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持续抓好《内蒙古自治区人民政府办公厅关于进一步简化电网项目审批的通知》（内政办字〔2022〕55号）相关要求的落实落地，加大土地卫片执法检查力度，提高风电塔基办理建设用地手续效率。</w:t>
      </w:r>
      <w:r>
        <w:rPr>
          <w:rFonts w:hint="eastAsia" w:ascii="楷体" w:hAnsi="楷体" w:eastAsia="楷体" w:cs="楷体"/>
          <w:color w:val="auto"/>
          <w:kern w:val="2"/>
          <w:sz w:val="32"/>
          <w:szCs w:val="32"/>
          <w:highlight w:val="none"/>
          <w:lang w:val="en-US" w:eastAsia="zh-CN" w:bidi="ar-SA"/>
        </w:rPr>
        <w:t>（责任单位：自治区自然资源厅，各盟行政公署、市人民政府，各电网企业、发电企业按职责分工负责）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八、落实社会稳定风险评估手续制度</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vertAlign w:val="baseline"/>
          <w:lang w:eastAsia="zh-CN"/>
        </w:rPr>
        <w:t>按照《内蒙古自治区重大决策社会稳定风险评估实施办法》要求，依照有关规定已将社会稳定风险评估作为工程项目可行性研究内容的重大工程项目，不再另行评估。新能源和电网项目所</w:t>
      </w:r>
      <w:r>
        <w:rPr>
          <w:rFonts w:hint="eastAsia" w:ascii="仿宋" w:hAnsi="仿宋" w:eastAsia="仿宋" w:cs="仿宋"/>
          <w:color w:val="auto"/>
          <w:spacing w:val="6"/>
          <w:sz w:val="32"/>
          <w:szCs w:val="32"/>
          <w:highlight w:val="none"/>
          <w:vertAlign w:val="baseline"/>
          <w:lang w:eastAsia="zh-CN"/>
        </w:rPr>
        <w:t>在地旗县（市、区）人民政府依法依规在土地征收审批申报前，组织完成社会稳定风险评估。</w:t>
      </w:r>
      <w:r>
        <w:rPr>
          <w:rFonts w:hint="eastAsia" w:ascii="楷体" w:hAnsi="楷体" w:eastAsia="楷体" w:cs="楷体"/>
          <w:color w:val="auto"/>
          <w:spacing w:val="6"/>
          <w:kern w:val="2"/>
          <w:sz w:val="32"/>
          <w:szCs w:val="32"/>
          <w:highlight w:val="none"/>
          <w:lang w:val="en-US" w:eastAsia="zh-CN" w:bidi="ar-SA"/>
        </w:rPr>
        <w:t>（责任单位：各盟市党委政法委，</w:t>
      </w:r>
      <w:r>
        <w:rPr>
          <w:rFonts w:hint="eastAsia" w:ascii="楷体" w:hAnsi="楷体" w:eastAsia="楷体" w:cs="楷体"/>
          <w:color w:val="auto"/>
          <w:kern w:val="2"/>
          <w:sz w:val="32"/>
          <w:szCs w:val="32"/>
          <w:highlight w:val="none"/>
          <w:lang w:val="en-US" w:eastAsia="zh-CN" w:bidi="ar-SA"/>
        </w:rPr>
        <w:t>各盟行政公署、市人民政府，各电网企业、发电企业按职责分工负责）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九、优化用林用草手续</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新能源和电网项目</w:t>
      </w:r>
      <w:r>
        <w:rPr>
          <w:rFonts w:hint="eastAsia" w:ascii="仿宋" w:hAnsi="仿宋" w:eastAsia="仿宋" w:cs="仿宋"/>
          <w:color w:val="auto"/>
          <w:sz w:val="32"/>
          <w:szCs w:val="32"/>
          <w:highlight w:val="none"/>
        </w:rPr>
        <w:t>的临时使用林（草）地手续</w:t>
      </w:r>
      <w:r>
        <w:rPr>
          <w:rStyle w:val="16"/>
          <w:rFonts w:hint="eastAsia" w:ascii="仿宋" w:hAnsi="仿宋" w:eastAsia="仿宋" w:cs="仿宋"/>
          <w:b w:val="0"/>
          <w:bCs/>
          <w:color w:val="auto"/>
          <w:sz w:val="32"/>
          <w:szCs w:val="32"/>
          <w:highlight w:val="none"/>
        </w:rPr>
        <w:t>应与永久使用</w:t>
      </w:r>
      <w:r>
        <w:rPr>
          <w:rFonts w:hint="eastAsia" w:ascii="仿宋" w:hAnsi="仿宋" w:eastAsia="仿宋" w:cs="仿宋"/>
          <w:color w:val="auto"/>
          <w:sz w:val="32"/>
          <w:szCs w:val="32"/>
          <w:highlight w:val="none"/>
        </w:rPr>
        <w:t>林（草）地</w:t>
      </w:r>
      <w:r>
        <w:rPr>
          <w:rStyle w:val="16"/>
          <w:rFonts w:hint="eastAsia" w:ascii="仿宋" w:hAnsi="仿宋" w:eastAsia="仿宋" w:cs="仿宋"/>
          <w:b w:val="0"/>
          <w:bCs/>
          <w:color w:val="auto"/>
          <w:sz w:val="32"/>
          <w:szCs w:val="32"/>
          <w:highlight w:val="none"/>
        </w:rPr>
        <w:t>手续同步办理；</w:t>
      </w:r>
      <w:r>
        <w:rPr>
          <w:rFonts w:hint="eastAsia" w:ascii="仿宋" w:hAnsi="仿宋" w:eastAsia="仿宋" w:cs="仿宋"/>
          <w:color w:val="auto"/>
          <w:sz w:val="32"/>
          <w:szCs w:val="32"/>
          <w:highlight w:val="none"/>
        </w:rPr>
        <w:t>审批部门受理使用林（草）地申请之日起10个工作日内，作出行政许可决定或出具审查意见报上级部门。</w:t>
      </w:r>
      <w:r>
        <w:rPr>
          <w:rFonts w:hint="eastAsia" w:ascii="楷体" w:hAnsi="楷体" w:eastAsia="楷体" w:cs="楷体"/>
          <w:color w:val="auto"/>
          <w:kern w:val="2"/>
          <w:sz w:val="32"/>
          <w:szCs w:val="32"/>
          <w:highlight w:val="none"/>
          <w:lang w:val="en-US" w:eastAsia="zh-CN" w:bidi="ar-SA"/>
        </w:rPr>
        <w:t>（责任单位：自治区各级林草主管部门，各电网企业、发电企业按职责分工负责）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十、推行代办手续制度</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rPr>
        <w:t>新能源和电网</w:t>
      </w:r>
      <w:r>
        <w:rPr>
          <w:rFonts w:hint="eastAsia" w:ascii="仿宋" w:hAnsi="仿宋" w:eastAsia="仿宋" w:cs="仿宋"/>
          <w:color w:val="auto"/>
          <w:sz w:val="32"/>
          <w:szCs w:val="32"/>
          <w:highlight w:val="none"/>
          <w:lang w:eastAsia="zh-CN"/>
        </w:rPr>
        <w:t>项目</w:t>
      </w:r>
      <w:r>
        <w:rPr>
          <w:rFonts w:hint="eastAsia" w:ascii="仿宋" w:hAnsi="仿宋" w:eastAsia="仿宋" w:cs="仿宋"/>
          <w:color w:val="auto"/>
          <w:sz w:val="32"/>
          <w:szCs w:val="32"/>
          <w:highlight w:val="none"/>
        </w:rPr>
        <w:t>在办理草原征占用审核审批手续时，旗县（市、区）人民政府负责</w:t>
      </w:r>
      <w:r>
        <w:rPr>
          <w:rFonts w:hint="eastAsia" w:ascii="仿宋" w:hAnsi="仿宋" w:eastAsia="仿宋" w:cs="仿宋"/>
          <w:color w:val="auto"/>
          <w:sz w:val="32"/>
          <w:szCs w:val="32"/>
          <w:highlight w:val="none"/>
          <w:lang w:eastAsia="zh-CN"/>
        </w:rPr>
        <w:t>帮助</w:t>
      </w:r>
      <w:r>
        <w:rPr>
          <w:rFonts w:hint="eastAsia" w:ascii="仿宋" w:hAnsi="仿宋" w:eastAsia="仿宋" w:cs="仿宋"/>
          <w:color w:val="auto"/>
          <w:sz w:val="32"/>
          <w:szCs w:val="32"/>
          <w:highlight w:val="none"/>
        </w:rPr>
        <w:t>项目单位</w:t>
      </w:r>
      <w:r>
        <w:rPr>
          <w:rFonts w:hint="eastAsia" w:ascii="仿宋" w:hAnsi="仿宋" w:eastAsia="仿宋" w:cs="仿宋"/>
          <w:color w:val="auto"/>
          <w:sz w:val="32"/>
          <w:szCs w:val="32"/>
          <w:highlight w:val="none"/>
          <w:lang w:eastAsia="zh-CN"/>
        </w:rPr>
        <w:t>与相关权利人签订补偿协议、签署公众调查表等工作。</w:t>
      </w:r>
      <w:r>
        <w:rPr>
          <w:rFonts w:hint="eastAsia" w:ascii="楷体" w:hAnsi="楷体" w:eastAsia="楷体" w:cs="楷体"/>
          <w:color w:val="auto"/>
          <w:kern w:val="2"/>
          <w:sz w:val="32"/>
          <w:szCs w:val="32"/>
          <w:highlight w:val="none"/>
          <w:lang w:val="en-US" w:eastAsia="zh-CN" w:bidi="ar-SA"/>
        </w:rPr>
        <w:t>（责任单位：各盟行政公署、市人民政府，各电网企业、发电企业按职责分工负责）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十一、做好项目建设配套基础工作</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rPr>
        <w:t>在新能源</w:t>
      </w:r>
      <w:r>
        <w:rPr>
          <w:rFonts w:hint="eastAsia" w:ascii="仿宋" w:hAnsi="仿宋" w:eastAsia="仿宋" w:cs="仿宋"/>
          <w:color w:val="auto"/>
          <w:sz w:val="32"/>
          <w:szCs w:val="32"/>
          <w:highlight w:val="none"/>
          <w:lang w:eastAsia="zh-CN"/>
        </w:rPr>
        <w:t>和</w:t>
      </w:r>
      <w:r>
        <w:rPr>
          <w:rFonts w:hint="eastAsia" w:ascii="仿宋" w:hAnsi="仿宋" w:eastAsia="仿宋" w:cs="仿宋"/>
          <w:color w:val="auto"/>
          <w:sz w:val="32"/>
          <w:szCs w:val="32"/>
          <w:highlight w:val="none"/>
        </w:rPr>
        <w:t>电网项目开工前，旗县（市、区）</w:t>
      </w:r>
      <w:r>
        <w:rPr>
          <w:rFonts w:hint="eastAsia" w:ascii="仿宋" w:hAnsi="仿宋" w:eastAsia="仿宋" w:cs="仿宋"/>
          <w:color w:val="auto"/>
          <w:sz w:val="32"/>
          <w:szCs w:val="32"/>
          <w:highlight w:val="none"/>
          <w:lang w:eastAsia="zh-CN"/>
        </w:rPr>
        <w:t>人民政府</w:t>
      </w:r>
      <w:r>
        <w:rPr>
          <w:rFonts w:hint="eastAsia" w:ascii="仿宋" w:hAnsi="仿宋" w:eastAsia="仿宋" w:cs="仿宋"/>
          <w:color w:val="auto"/>
          <w:sz w:val="32"/>
          <w:szCs w:val="32"/>
          <w:highlight w:val="none"/>
        </w:rPr>
        <w:t>应完成征占地、房屋动迁、动迁安置、青赔清障以及与工程相关的交通道路、供排水等配套工程建设工作，</w:t>
      </w:r>
      <w:r>
        <w:rPr>
          <w:rStyle w:val="16"/>
          <w:rFonts w:hint="eastAsia" w:ascii="仿宋" w:hAnsi="仿宋" w:eastAsia="仿宋" w:cs="仿宋"/>
          <w:b w:val="0"/>
          <w:bCs/>
          <w:color w:val="auto"/>
          <w:sz w:val="32"/>
          <w:szCs w:val="32"/>
          <w:highlight w:val="none"/>
        </w:rPr>
        <w:t>降低项目非技术成本；负责及时处置抢栽抢种、阻碍施工等突发事件。</w:t>
      </w:r>
      <w:r>
        <w:rPr>
          <w:rFonts w:hint="eastAsia" w:ascii="楷体" w:hAnsi="楷体" w:eastAsia="楷体" w:cs="楷体"/>
          <w:color w:val="auto"/>
          <w:kern w:val="2"/>
          <w:sz w:val="32"/>
          <w:szCs w:val="32"/>
          <w:highlight w:val="none"/>
          <w:lang w:val="en-US" w:eastAsia="zh-CN" w:bidi="ar-SA"/>
        </w:rPr>
        <w:t>（责任单位：各盟行政公署、市人民政府负责）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十二、完善项目推进保障机制</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Style w:val="16"/>
          <w:rFonts w:hint="eastAsia" w:ascii="仿宋" w:hAnsi="仿宋" w:eastAsia="仿宋" w:cs="仿宋"/>
          <w:b w:val="0"/>
          <w:bCs/>
          <w:color w:val="auto"/>
          <w:sz w:val="32"/>
          <w:szCs w:val="32"/>
          <w:highlight w:val="none"/>
          <w:lang w:eastAsia="zh-CN"/>
        </w:rPr>
        <w:t>各</w:t>
      </w:r>
      <w:r>
        <w:rPr>
          <w:rFonts w:hint="eastAsia" w:ascii="仿宋" w:hAnsi="仿宋" w:eastAsia="仿宋" w:cs="仿宋"/>
          <w:color w:val="auto"/>
          <w:sz w:val="32"/>
          <w:szCs w:val="32"/>
          <w:highlight w:val="none"/>
          <w:lang w:eastAsia="zh-CN"/>
        </w:rPr>
        <w:t>盟市要建立推进新能源、电网工程建设工作机制，成立工作专班，建立健全项目并联审批、容缺受理、源网协同等推进机制，强化责任落实。</w:t>
      </w:r>
      <w:r>
        <w:rPr>
          <w:rFonts w:hint="eastAsia" w:ascii="楷体" w:hAnsi="楷体" w:eastAsia="楷体" w:cs="楷体"/>
          <w:color w:val="auto"/>
          <w:kern w:val="2"/>
          <w:sz w:val="32"/>
          <w:szCs w:val="32"/>
          <w:highlight w:val="none"/>
          <w:lang w:val="en-US" w:eastAsia="zh-CN" w:bidi="ar-SA"/>
        </w:rPr>
        <w:t>（责任单位：自治区各有关部门单位，各盟行政公署、市人民政府按职责分工负责）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十三、着力加强项目监督管理</w:t>
      </w:r>
    </w:p>
    <w:p>
      <w:pPr>
        <w:pStyle w:val="6"/>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仿宋" w:hAnsi="仿宋" w:eastAsia="仿宋" w:cs="仿宋"/>
          <w:color w:val="auto"/>
          <w:sz w:val="32"/>
          <w:szCs w:val="32"/>
          <w:highlight w:val="none"/>
        </w:rPr>
        <w:t>建立项目纳规、审批、建设、并网、市场交易全流程监督管理机制，压实主体责任、明确责任分工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建立新能源开发</w:t>
      </w:r>
      <w:r>
        <w:rPr>
          <w:rFonts w:hint="eastAsia" w:ascii="仿宋" w:hAnsi="仿宋" w:eastAsia="仿宋" w:cs="仿宋"/>
          <w:color w:val="auto"/>
          <w:sz w:val="32"/>
          <w:szCs w:val="32"/>
          <w:highlight w:val="none"/>
          <w:lang w:eastAsia="zh-CN"/>
        </w:rPr>
        <w:t>建设管</w:t>
      </w:r>
      <w:r>
        <w:rPr>
          <w:rFonts w:hint="eastAsia" w:ascii="仿宋" w:hAnsi="仿宋" w:eastAsia="仿宋" w:cs="仿宋"/>
          <w:color w:val="auto"/>
          <w:spacing w:val="6"/>
          <w:sz w:val="32"/>
          <w:szCs w:val="32"/>
          <w:highlight w:val="none"/>
          <w:lang w:eastAsia="zh-CN"/>
        </w:rPr>
        <w:t>理</w:t>
      </w:r>
      <w:r>
        <w:rPr>
          <w:rFonts w:hint="eastAsia" w:ascii="仿宋" w:hAnsi="仿宋" w:eastAsia="仿宋" w:cs="仿宋"/>
          <w:color w:val="auto"/>
          <w:spacing w:val="6"/>
          <w:sz w:val="32"/>
          <w:szCs w:val="32"/>
          <w:highlight w:val="none"/>
        </w:rPr>
        <w:t>风险防范机制，及时废止不具备开发建设条件的新能源项目</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z w:val="32"/>
          <w:szCs w:val="32"/>
          <w:highlight w:val="none"/>
          <w:lang w:eastAsia="zh-CN"/>
        </w:rPr>
        <w:t>为新能源开发建设和高质量发展更好优化资源要素配置，为更多有信誉、有实力的企业提供市场空间，为新能源产业和新能源装备制造业协同发展创造良好政务和市场环境</w:t>
      </w:r>
      <w:r>
        <w:rPr>
          <w:rFonts w:hint="eastAsia" w:ascii="仿宋" w:hAnsi="仿宋" w:eastAsia="仿宋" w:cs="仿宋"/>
          <w:color w:val="auto"/>
          <w:sz w:val="32"/>
          <w:szCs w:val="32"/>
          <w:highlight w:val="none"/>
        </w:rPr>
        <w:t>。</w:t>
      </w:r>
      <w:r>
        <w:rPr>
          <w:rFonts w:hint="eastAsia" w:ascii="楷体" w:hAnsi="楷体" w:eastAsia="楷体" w:cs="楷体"/>
          <w:color w:val="auto"/>
          <w:kern w:val="2"/>
          <w:sz w:val="32"/>
          <w:szCs w:val="32"/>
          <w:highlight w:val="none"/>
          <w:lang w:val="en-US" w:eastAsia="zh-CN" w:bidi="ar-SA"/>
        </w:rPr>
        <w:t>（责任单位：自治区能源局及有关部门单位，各盟行政公署、市人民政府，各发电企业按职责分工负责）</w:t>
      </w:r>
    </w:p>
    <w:p>
      <w:pPr>
        <w:keepNext w:val="0"/>
        <w:keepLines w:val="0"/>
        <w:pageBreakBefore w:val="0"/>
        <w:widowControl w:val="0"/>
        <w:kinsoku/>
        <w:wordWrap/>
        <w:overflowPunct/>
        <w:topLinePunct/>
        <w:autoSpaceDE/>
        <w:autoSpaceDN/>
        <w:bidi w:val="0"/>
        <w:spacing w:line="580" w:lineRule="exact"/>
        <w:textAlignment w:val="auto"/>
        <w:rPr>
          <w:rFonts w:hint="eastAsia" w:ascii="楷体" w:hAnsi="楷体" w:eastAsia="楷体" w:cs="楷体"/>
          <w:color w:val="auto"/>
          <w:kern w:val="2"/>
          <w:sz w:val="32"/>
          <w:szCs w:val="32"/>
          <w:highlight w:val="none"/>
          <w:lang w:val="en-US" w:eastAsia="zh-CN" w:bidi="ar-SA"/>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autoSpaceDE/>
        <w:autoSpaceDN/>
        <w:bidi w:val="0"/>
        <w:spacing w:line="580" w:lineRule="exact"/>
        <w:textAlignment w:val="auto"/>
        <w:rPr>
          <w:rFonts w:hint="eastAsia" w:ascii="仿宋" w:hAnsi="仿宋" w:eastAsia="仿宋" w:cs="仿宋"/>
          <w:color w:val="auto"/>
          <w:sz w:val="32"/>
          <w:szCs w:val="32"/>
          <w:highlight w:val="none"/>
        </w:rPr>
      </w:pPr>
    </w:p>
    <w:p>
      <w:pPr>
        <w:pStyle w:val="2"/>
        <w:keepNext w:val="0"/>
        <w:keepLines w:val="0"/>
        <w:pageBreakBefore w:val="0"/>
        <w:widowControl w:val="0"/>
        <w:kinsoku/>
        <w:wordWrap/>
        <w:overflowPunct/>
        <w:topLinePunct/>
        <w:autoSpaceDE/>
        <w:autoSpaceDN/>
        <w:bidi w:val="0"/>
        <w:spacing w:line="580" w:lineRule="exact"/>
        <w:ind w:left="0" w:leftChars="0" w:firstLine="0" w:firstLineChars="0"/>
        <w:textAlignment w:val="auto"/>
        <w:rPr>
          <w:rFonts w:hint="eastAsia" w:ascii="仿宋" w:hAnsi="仿宋" w:eastAsia="仿宋" w:cs="仿宋"/>
          <w:color w:val="auto"/>
          <w:sz w:val="32"/>
          <w:szCs w:val="32"/>
          <w:highlight w:val="none"/>
          <w:lang w:val="en-US" w:eastAsia="zh-CN"/>
        </w:rPr>
      </w:pPr>
    </w:p>
    <w:p>
      <w:pPr>
        <w:pStyle w:val="2"/>
        <w:keepNext w:val="0"/>
        <w:keepLines w:val="0"/>
        <w:pageBreakBefore w:val="0"/>
        <w:widowControl w:val="0"/>
        <w:tabs>
          <w:tab w:val="left" w:pos="7560"/>
        </w:tabs>
        <w:kinsoku/>
        <w:wordWrap/>
        <w:overflowPunct/>
        <w:topLinePunct/>
        <w:autoSpaceDE/>
        <w:autoSpaceDN/>
        <w:bidi w:val="0"/>
        <w:spacing w:line="580" w:lineRule="exact"/>
        <w:ind w:left="0" w:leftChars="0" w:firstLine="5299" w:firstLineChars="1656"/>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2024年2月8日</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（此件公开发布）</w:t>
      </w:r>
    </w:p>
    <w:bookmarkEnd w:id="1"/>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bl>
      <w:tblPr>
        <w:tblStyle w:val="13"/>
        <w:tblW w:w="892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5"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3680460</wp:posOffset>
            </wp:positionH>
            <wp:positionV relativeFrom="paragraph">
              <wp:posOffset>217170</wp:posOffset>
            </wp:positionV>
            <wp:extent cx="1838325" cy="523875"/>
            <wp:effectExtent l="0" t="0" r="9525" b="9525"/>
            <wp:wrapSquare wrapText="bothSides"/>
            <wp:docPr id="1" name="图片 5" descr="NZ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6"/>
                    <pic:cNvPicPr>
                      <a:picLocks noChangeAspect="1"/>
                    </pic:cNvPicPr>
                  </pic:nvPicPr>
                  <pic:blipFill>
                    <a:blip r:embed="rId8"/>
                    <a:stretch>
                      <a:fillRect/>
                    </a:stretch>
                  </pic:blipFill>
                  <pic:spPr>
                    <a:xfrm>
                      <a:off x="0" y="0"/>
                      <a:ext cx="1838325" cy="52387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1423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3D56"/>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524"/>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11B684E"/>
    <w:rsid w:val="01C961AB"/>
    <w:rsid w:val="023B43DC"/>
    <w:rsid w:val="02FC6ED1"/>
    <w:rsid w:val="033F6330"/>
    <w:rsid w:val="036A46B7"/>
    <w:rsid w:val="038E1189"/>
    <w:rsid w:val="041A6563"/>
    <w:rsid w:val="04962F3A"/>
    <w:rsid w:val="04ED2E25"/>
    <w:rsid w:val="05462E4F"/>
    <w:rsid w:val="06B154EA"/>
    <w:rsid w:val="072F2D26"/>
    <w:rsid w:val="074D26E8"/>
    <w:rsid w:val="07675704"/>
    <w:rsid w:val="08B410FD"/>
    <w:rsid w:val="0A6914F2"/>
    <w:rsid w:val="0B091CAF"/>
    <w:rsid w:val="0BA80789"/>
    <w:rsid w:val="0DBE6B69"/>
    <w:rsid w:val="0DEE09D1"/>
    <w:rsid w:val="0E47267B"/>
    <w:rsid w:val="0EC66DD7"/>
    <w:rsid w:val="10AA3895"/>
    <w:rsid w:val="110F26B1"/>
    <w:rsid w:val="11724672"/>
    <w:rsid w:val="117F71CE"/>
    <w:rsid w:val="12CD0065"/>
    <w:rsid w:val="13284EFE"/>
    <w:rsid w:val="13404ED0"/>
    <w:rsid w:val="135A0CA1"/>
    <w:rsid w:val="138D6AE8"/>
    <w:rsid w:val="13EA7F26"/>
    <w:rsid w:val="13EF5DE2"/>
    <w:rsid w:val="13F07658"/>
    <w:rsid w:val="13F2089E"/>
    <w:rsid w:val="14D14D91"/>
    <w:rsid w:val="155D2B81"/>
    <w:rsid w:val="15F4727F"/>
    <w:rsid w:val="16AB1AC9"/>
    <w:rsid w:val="18A95C6B"/>
    <w:rsid w:val="18E4509C"/>
    <w:rsid w:val="19494183"/>
    <w:rsid w:val="19EE7308"/>
    <w:rsid w:val="1A072A82"/>
    <w:rsid w:val="1A2D19C4"/>
    <w:rsid w:val="1A7D41CF"/>
    <w:rsid w:val="1B1B4D99"/>
    <w:rsid w:val="1C5201E5"/>
    <w:rsid w:val="1C860957"/>
    <w:rsid w:val="1CCA3E50"/>
    <w:rsid w:val="1CF9133F"/>
    <w:rsid w:val="1DFC27A7"/>
    <w:rsid w:val="1EBA11B8"/>
    <w:rsid w:val="1F422449"/>
    <w:rsid w:val="1FD3237E"/>
    <w:rsid w:val="20925DF9"/>
    <w:rsid w:val="20956206"/>
    <w:rsid w:val="21CE0EBF"/>
    <w:rsid w:val="2204409B"/>
    <w:rsid w:val="221F3FC2"/>
    <w:rsid w:val="226142E8"/>
    <w:rsid w:val="2270153E"/>
    <w:rsid w:val="229E321D"/>
    <w:rsid w:val="22F251A7"/>
    <w:rsid w:val="24485B15"/>
    <w:rsid w:val="254D1F4B"/>
    <w:rsid w:val="25613678"/>
    <w:rsid w:val="25F93643"/>
    <w:rsid w:val="26AF4574"/>
    <w:rsid w:val="28443949"/>
    <w:rsid w:val="29A22E7E"/>
    <w:rsid w:val="2A514B2D"/>
    <w:rsid w:val="2B4A4C0B"/>
    <w:rsid w:val="2BA872AF"/>
    <w:rsid w:val="2C0155FA"/>
    <w:rsid w:val="2C525909"/>
    <w:rsid w:val="2C855A23"/>
    <w:rsid w:val="2FAD1F35"/>
    <w:rsid w:val="2FFFA83C"/>
    <w:rsid w:val="301E3681"/>
    <w:rsid w:val="3030148A"/>
    <w:rsid w:val="30D513D0"/>
    <w:rsid w:val="31EE5DDC"/>
    <w:rsid w:val="322D6746"/>
    <w:rsid w:val="3287411D"/>
    <w:rsid w:val="3326022B"/>
    <w:rsid w:val="336117A9"/>
    <w:rsid w:val="33BB42F6"/>
    <w:rsid w:val="33CE084B"/>
    <w:rsid w:val="346D1AD6"/>
    <w:rsid w:val="34EE7EDE"/>
    <w:rsid w:val="35101D55"/>
    <w:rsid w:val="356A42F4"/>
    <w:rsid w:val="36D73DAD"/>
    <w:rsid w:val="36FA5F28"/>
    <w:rsid w:val="370451A4"/>
    <w:rsid w:val="38C04F1B"/>
    <w:rsid w:val="394C5D61"/>
    <w:rsid w:val="399376DE"/>
    <w:rsid w:val="3A851764"/>
    <w:rsid w:val="3AB50F3D"/>
    <w:rsid w:val="3B1B0DC9"/>
    <w:rsid w:val="3B2C72EE"/>
    <w:rsid w:val="3BF54910"/>
    <w:rsid w:val="3C6252EC"/>
    <w:rsid w:val="3CDC4B28"/>
    <w:rsid w:val="3D0C24CD"/>
    <w:rsid w:val="3D583F3E"/>
    <w:rsid w:val="3EA97209"/>
    <w:rsid w:val="3F9D020A"/>
    <w:rsid w:val="3FA92178"/>
    <w:rsid w:val="40A252A8"/>
    <w:rsid w:val="41AA6410"/>
    <w:rsid w:val="41AE3A8D"/>
    <w:rsid w:val="42722596"/>
    <w:rsid w:val="439E3A81"/>
    <w:rsid w:val="43B61CB1"/>
    <w:rsid w:val="44081D02"/>
    <w:rsid w:val="4568337E"/>
    <w:rsid w:val="456E4695"/>
    <w:rsid w:val="45B97C4D"/>
    <w:rsid w:val="45BC6285"/>
    <w:rsid w:val="46A56D72"/>
    <w:rsid w:val="47903C8B"/>
    <w:rsid w:val="487D5E13"/>
    <w:rsid w:val="48821982"/>
    <w:rsid w:val="48E76ECF"/>
    <w:rsid w:val="49426DD8"/>
    <w:rsid w:val="49AA09BA"/>
    <w:rsid w:val="49F718BA"/>
    <w:rsid w:val="49FD4D8D"/>
    <w:rsid w:val="49FD798C"/>
    <w:rsid w:val="4A456A7E"/>
    <w:rsid w:val="4A6332CB"/>
    <w:rsid w:val="4B7F2B34"/>
    <w:rsid w:val="4BB12688"/>
    <w:rsid w:val="4C487C2E"/>
    <w:rsid w:val="4CA35BB8"/>
    <w:rsid w:val="4E11072F"/>
    <w:rsid w:val="4F6C0A43"/>
    <w:rsid w:val="50022206"/>
    <w:rsid w:val="506F4904"/>
    <w:rsid w:val="50D95972"/>
    <w:rsid w:val="50E63949"/>
    <w:rsid w:val="51070FE7"/>
    <w:rsid w:val="51500290"/>
    <w:rsid w:val="51650C56"/>
    <w:rsid w:val="51762C52"/>
    <w:rsid w:val="518B2207"/>
    <w:rsid w:val="52BB649D"/>
    <w:rsid w:val="53641A2C"/>
    <w:rsid w:val="5425443B"/>
    <w:rsid w:val="5557264B"/>
    <w:rsid w:val="56376B56"/>
    <w:rsid w:val="5675FFEF"/>
    <w:rsid w:val="57B26623"/>
    <w:rsid w:val="587614AF"/>
    <w:rsid w:val="58DC5D94"/>
    <w:rsid w:val="59410961"/>
    <w:rsid w:val="5A3C2495"/>
    <w:rsid w:val="5A6A2F98"/>
    <w:rsid w:val="5A6B0416"/>
    <w:rsid w:val="5A9F64D1"/>
    <w:rsid w:val="5AFE5310"/>
    <w:rsid w:val="5B7C103A"/>
    <w:rsid w:val="5BAE3879"/>
    <w:rsid w:val="5BB11256"/>
    <w:rsid w:val="5DD71BEA"/>
    <w:rsid w:val="5F5A0464"/>
    <w:rsid w:val="5FB22F68"/>
    <w:rsid w:val="62CF01E6"/>
    <w:rsid w:val="640A7CD5"/>
    <w:rsid w:val="64673DB3"/>
    <w:rsid w:val="64B86B45"/>
    <w:rsid w:val="650733FD"/>
    <w:rsid w:val="66EC4B84"/>
    <w:rsid w:val="66F72933"/>
    <w:rsid w:val="67FD570C"/>
    <w:rsid w:val="688A1F0F"/>
    <w:rsid w:val="691204A3"/>
    <w:rsid w:val="691B1A50"/>
    <w:rsid w:val="6A5E2AF2"/>
    <w:rsid w:val="6ADE5BA2"/>
    <w:rsid w:val="6BBE7BEB"/>
    <w:rsid w:val="6BD838C4"/>
    <w:rsid w:val="6C590EFB"/>
    <w:rsid w:val="6CA537DD"/>
    <w:rsid w:val="6E242910"/>
    <w:rsid w:val="6E3F7466"/>
    <w:rsid w:val="6F2C465B"/>
    <w:rsid w:val="704506BB"/>
    <w:rsid w:val="71025152"/>
    <w:rsid w:val="72501817"/>
    <w:rsid w:val="72623342"/>
    <w:rsid w:val="727C4747"/>
    <w:rsid w:val="73687A83"/>
    <w:rsid w:val="73BF2DAF"/>
    <w:rsid w:val="742D15F3"/>
    <w:rsid w:val="75247E95"/>
    <w:rsid w:val="761143FC"/>
    <w:rsid w:val="76226ED1"/>
    <w:rsid w:val="76EA0B2A"/>
    <w:rsid w:val="771A647E"/>
    <w:rsid w:val="79BD9267"/>
    <w:rsid w:val="79DF7F82"/>
    <w:rsid w:val="7A8964CC"/>
    <w:rsid w:val="7AAF5925"/>
    <w:rsid w:val="7BB87B9A"/>
    <w:rsid w:val="7C270546"/>
    <w:rsid w:val="7CA80BBA"/>
    <w:rsid w:val="7D092B71"/>
    <w:rsid w:val="7D113AD9"/>
    <w:rsid w:val="7D164783"/>
    <w:rsid w:val="7DDF32A2"/>
    <w:rsid w:val="7DE06899"/>
    <w:rsid w:val="7E225AE2"/>
    <w:rsid w:val="7E960D71"/>
    <w:rsid w:val="7F9DB8C7"/>
    <w:rsid w:val="7FC64B01"/>
    <w:rsid w:val="8FD60059"/>
    <w:rsid w:val="B7EFD754"/>
    <w:rsid w:val="BBFE9DA6"/>
    <w:rsid w:val="BFEFEE74"/>
    <w:rsid w:val="D67F0D1D"/>
    <w:rsid w:val="D9FF6DF7"/>
    <w:rsid w:val="DF7F0FD6"/>
    <w:rsid w:val="DFFC13AE"/>
    <w:rsid w:val="E57E0CE6"/>
    <w:rsid w:val="F6FFD93D"/>
    <w:rsid w:val="F9BBABAA"/>
    <w:rsid w:val="FBBB4C72"/>
    <w:rsid w:val="FBFDD337"/>
    <w:rsid w:val="FD273D50"/>
    <w:rsid w:val="FFE7E2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Normal Indent"/>
    <w:basedOn w:val="1"/>
    <w:next w:val="1"/>
    <w:uiPriority w:val="0"/>
    <w:pPr>
      <w:widowControl w:val="0"/>
      <w:suppressAutoHyphens/>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5">
    <w:name w:val="Document Map"/>
    <w:basedOn w:val="1"/>
    <w:semiHidden/>
    <w:uiPriority w:val="0"/>
    <w:pPr>
      <w:shd w:val="clear" w:color="auto" w:fill="000080"/>
    </w:pPr>
  </w:style>
  <w:style w:type="paragraph" w:styleId="6">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7">
    <w:name w:val="Date"/>
    <w:basedOn w:val="1"/>
    <w:next w:val="1"/>
    <w:link w:val="20"/>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21"/>
    <w:uiPriority w:val="0"/>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6"/>
    <w:uiPriority w:val="0"/>
  </w:style>
  <w:style w:type="paragraph" w:styleId="12">
    <w:name w:val="Normal (Web)"/>
    <w:basedOn w:val="1"/>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uiPriority w:val="0"/>
    <w:rPr>
      <w:rFonts w:ascii="Calibri" w:hAnsi="Calibri" w:eastAsia="宋体" w:cs="Times New Roman"/>
      <w:b/>
    </w:rPr>
  </w:style>
  <w:style w:type="character" w:styleId="17">
    <w:name w:val="page number"/>
    <w:basedOn w:val="15"/>
    <w:uiPriority w:val="0"/>
  </w:style>
  <w:style w:type="paragraph" w:customStyle="1" w:styleId="18">
    <w:name w:val="Heading"/>
    <w:basedOn w:val="1"/>
    <w:next w:val="6"/>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9">
    <w:name w:val="Index"/>
    <w:basedOn w:val="1"/>
    <w:uiPriority w:val="0"/>
    <w:pPr>
      <w:widowControl w:val="0"/>
      <w:suppressLineNumbers/>
      <w:suppressAutoHyphens/>
      <w:bidi w:val="0"/>
    </w:pPr>
    <w:rPr>
      <w:rFonts w:ascii="Calibri" w:hAnsi="Calibri" w:eastAsia="宋体" w:cs="Times New Roman"/>
      <w:color w:val="auto"/>
      <w:szCs w:val="24"/>
      <w:lang w:bidi="ar-SA"/>
    </w:rPr>
  </w:style>
  <w:style w:type="character" w:customStyle="1" w:styleId="20">
    <w:name w:val=" Char Char2"/>
    <w:basedOn w:val="15"/>
    <w:link w:val="7"/>
    <w:uiPriority w:val="0"/>
    <w:rPr>
      <w:rFonts w:ascii="仿宋_GB2312" w:hAnsi="Times New Roman" w:eastAsia="仿宋_GB2312" w:cs="Times New Roman"/>
      <w:kern w:val="2"/>
      <w:sz w:val="32"/>
      <w:szCs w:val="24"/>
      <w:lang w:bidi="ar-SA"/>
    </w:rPr>
  </w:style>
  <w:style w:type="character" w:customStyle="1" w:styleId="21">
    <w:name w:val=" Char Char"/>
    <w:basedOn w:val="15"/>
    <w:link w:val="9"/>
    <w:semiHidden/>
    <w:uiPriority w:val="99"/>
    <w:rPr>
      <w:rFonts w:ascii="Calibri" w:hAnsi="Calibri" w:eastAsia="宋体" w:cs="Mongolian Baiti"/>
      <w:kern w:val="2"/>
      <w:sz w:val="18"/>
      <w:szCs w:val="22"/>
    </w:rPr>
  </w:style>
  <w:style w:type="character" w:customStyle="1" w:styleId="22">
    <w:name w:val=" Char Char1"/>
    <w:basedOn w:val="15"/>
    <w:link w:val="10"/>
    <w:semiHidden/>
    <w:uiPriority w:val="99"/>
    <w:rPr>
      <w:rFonts w:ascii="Calibri" w:hAnsi="Calibri" w:eastAsia="宋体" w:cs="Mongolian Baiti"/>
      <w:kern w:val="2"/>
      <w:sz w:val="18"/>
      <w:szCs w:val="22"/>
    </w:rPr>
  </w:style>
  <w:style w:type="character" w:customStyle="1" w:styleId="23">
    <w:name w:val="默认段落字体1"/>
    <w:uiPriority w:val="0"/>
    <w:rPr>
      <w:rFonts w:ascii="Times New Roman" w:hAnsi="Times New Roman" w:eastAsia="宋体" w:cs="Times New Roman"/>
    </w:rPr>
  </w:style>
  <w:style w:type="character" w:customStyle="1" w:styleId="24">
    <w:name w:val="font41"/>
    <w:basedOn w:val="15"/>
    <w:uiPriority w:val="0"/>
    <w:rPr>
      <w:rFonts w:ascii="仿宋_GB2312" w:hAnsi="Times New Roman" w:eastAsia="仿宋_GB2312" w:cs="仿宋_GB2312"/>
      <w:color w:val="000000"/>
      <w:sz w:val="24"/>
      <w:szCs w:val="24"/>
      <w:u w:val="none"/>
    </w:rPr>
  </w:style>
  <w:style w:type="character" w:customStyle="1" w:styleId="25">
    <w:name w:val="font51"/>
    <w:basedOn w:val="15"/>
    <w:uiPriority w:val="0"/>
    <w:rPr>
      <w:rFonts w:ascii="仿宋_GB2312" w:hAnsi="Times New Roman" w:eastAsia="仿宋_GB2312" w:cs="仿宋_GB2312"/>
      <w:color w:val="000000"/>
      <w:sz w:val="24"/>
      <w:szCs w:val="24"/>
      <w:u w:val="none"/>
    </w:rPr>
  </w:style>
  <w:style w:type="character" w:customStyle="1" w:styleId="26">
    <w:name w:val="font21"/>
    <w:basedOn w:val="15"/>
    <w:uiPriority w:val="0"/>
    <w:rPr>
      <w:rFonts w:hint="default" w:ascii="Times New Roman" w:hAnsi="Times New Roman" w:eastAsia="宋体" w:cs="Times New Roman"/>
      <w:color w:val="000000"/>
      <w:sz w:val="24"/>
      <w:szCs w:val="24"/>
      <w:u w:val="none"/>
    </w:rPr>
  </w:style>
  <w:style w:type="character" w:customStyle="1" w:styleId="27">
    <w:name w:val="font31"/>
    <w:basedOn w:val="15"/>
    <w:uiPriority w:val="0"/>
    <w:rPr>
      <w:rFonts w:hint="default" w:ascii="Times New Roman" w:hAnsi="Times New Roman" w:eastAsia="宋体" w:cs="Times New Roman"/>
      <w:color w:val="000000"/>
      <w:sz w:val="24"/>
      <w:szCs w:val="24"/>
      <w:u w:val="none"/>
    </w:rPr>
  </w:style>
  <w:style w:type="character" w:customStyle="1" w:styleId="28">
    <w:name w:val="font01"/>
    <w:basedOn w:val="15"/>
    <w:uiPriority w:val="0"/>
    <w:rPr>
      <w:rFonts w:hint="default" w:ascii="Times New Roman" w:hAnsi="Times New Roman" w:eastAsia="宋体"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2024-02-08T20:21:55Z</cp:lastPrinted>
  <dcterms:modified xsi:type="dcterms:W3CDTF">2024-02-20T03:37:29Z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