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0" w:name="标题"/>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关于促进新能源消纳若干举措的通知</w:t>
      </w:r>
    </w:p>
    <w:p>
      <w:pPr>
        <w:pStyle w:val="2"/>
        <w:rPr>
          <w:rFonts w:hint="eastAsia" w:ascii="方正小标宋_GBK" w:hAnsi="方正小标宋_GBK" w:eastAsia="方正小标宋_GBK" w:cs="方正小标宋_GBK"/>
          <w:sz w:val="44"/>
          <w:szCs w:val="44"/>
          <w:lang w:eastAsia="zh-CN"/>
        </w:rPr>
      </w:pPr>
    </w:p>
    <w:p>
      <w:pPr>
        <w:jc w:val="center"/>
        <w:rPr>
          <w:rFonts w:hint="eastAsia"/>
          <w:lang w:eastAsia="zh-CN"/>
        </w:rPr>
      </w:pPr>
      <w:r>
        <w:rPr>
          <w:rFonts w:hint="eastAsia" w:ascii="仿宋_GB2312" w:hAnsi="华文仿宋" w:eastAsia="仿宋_GB2312"/>
          <w:sz w:val="32"/>
          <w:lang w:eastAsia="zh-CN"/>
        </w:rPr>
        <w:t>内政办发〔2023〕8</w:t>
      </w:r>
      <w:r>
        <w:rPr>
          <w:rFonts w:hint="eastAsia" w:ascii="仿宋_GB2312" w:hAnsi="华文仿宋" w:eastAsia="仿宋_GB2312"/>
          <w:sz w:val="32"/>
          <w:lang w:val="en-US" w:eastAsia="zh-CN"/>
        </w:rPr>
        <w:t>1</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lang w:eastAsia="zh-CN"/>
        </w:rPr>
      </w:pPr>
      <w:bookmarkStart w:id="2" w:name="_GoBack"/>
      <w:r>
        <w:rPr>
          <w:rFonts w:hint="eastAsia" w:ascii="仿宋" w:hAnsi="仿宋" w:eastAsia="仿宋" w:cs="仿宋"/>
          <w:sz w:val="32"/>
          <w:szCs w:val="32"/>
          <w:lang w:eastAsia="zh-CN"/>
        </w:rPr>
        <w:t>各盟行政公署、市人民政府，自治区各委、办、厅、局，各有关企业：</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为进一步推动新能源高质量全面争先发展，发挥新能源消纳在推动新能</w:t>
      </w:r>
      <w:r>
        <w:rPr>
          <w:rFonts w:hint="eastAsia" w:ascii="仿宋" w:hAnsi="仿宋" w:eastAsia="仿宋" w:cs="仿宋"/>
          <w:spacing w:val="6"/>
          <w:sz w:val="32"/>
          <w:szCs w:val="32"/>
          <w:lang w:eastAsia="zh-CN"/>
        </w:rPr>
        <w:t>源大规模开发和高比例</w:t>
      </w:r>
      <w:r>
        <w:rPr>
          <w:rFonts w:hint="eastAsia" w:ascii="仿宋" w:hAnsi="仿宋" w:eastAsia="仿宋" w:cs="仿宋"/>
          <w:sz w:val="32"/>
          <w:szCs w:val="32"/>
          <w:lang w:eastAsia="zh-CN"/>
        </w:rPr>
        <w:t>应用方面的基础和关键作用，有效提升全社会消纳新能源水平，经自治区人民政府同意，现就促进新能源消纳若干举措通知如下。</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一、稳步提升自用新能源消纳水平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实施跨地区合作新能源消纳项目，促进资源和要素跨区域优化配置。对新能源、用电负荷分属不同盟市的市场化消纳新能源项目，自治区统筹相关盟市协商确定合作原则、责任分工、利益划分等核心要素，共同形成中长期合作协议和方案，报请自治区人民政府同意后，在方案框架内统筹规划具体项目。</w:t>
      </w:r>
      <w:r>
        <w:rPr>
          <w:rFonts w:hint="eastAsia" w:ascii="仿宋" w:hAnsi="仿宋" w:eastAsia="仿宋" w:cs="仿宋"/>
          <w:sz w:val="32"/>
          <w:szCs w:val="32"/>
          <w:lang w:val="en-US" w:eastAsia="zh-CN"/>
        </w:rPr>
        <w:t>对新能源、用电负荷分属同一盟市、不同旗县（市、区）的市场化消纳新能源项目，由盟行政公署、市人民政府统筹制定中长期合作方案，</w:t>
      </w:r>
      <w:r>
        <w:rPr>
          <w:rFonts w:hint="eastAsia" w:ascii="仿宋" w:hAnsi="仿宋" w:eastAsia="仿宋" w:cs="仿宋"/>
          <w:sz w:val="32"/>
          <w:szCs w:val="32"/>
          <w:lang w:eastAsia="zh-CN"/>
        </w:rPr>
        <w:t>在方案框架内统筹规划具体项目。</w:t>
      </w:r>
      <w:r>
        <w:rPr>
          <w:rFonts w:hint="eastAsia" w:ascii="楷体" w:hAnsi="楷体" w:eastAsia="楷体" w:cs="楷体"/>
          <w:sz w:val="32"/>
          <w:szCs w:val="32"/>
          <w:lang w:val="en-US" w:eastAsia="zh-CN"/>
        </w:rPr>
        <w:t>（各盟行政公署、市人民政府，自治区能源局按职责分工负责）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（二）开展存量用电负荷绿电替代示范工程，释放部分存量项目消纳新能源潜力。</w:t>
      </w:r>
      <w:r>
        <w:rPr>
          <w:rFonts w:hint="eastAsia" w:ascii="仿宋" w:hAnsi="仿宋" w:eastAsia="仿宋" w:cs="仿宋"/>
          <w:sz w:val="32"/>
          <w:szCs w:val="32"/>
          <w:lang w:eastAsia="zh-CN"/>
        </w:rPr>
        <w:t>制定存量用电负荷绿电替代工作方案。存量高载能企业可在市场化消纳新能源、跨地区合作等政策框架下，满足系统接入、电力流向等要求，与电网公司协商一致，以“远近结合、因地制宜、自我消纳”为原则，规划布局一定规模新能源。</w:t>
      </w:r>
      <w:r>
        <w:rPr>
          <w:rFonts w:hint="eastAsia" w:ascii="楷体" w:hAnsi="楷体" w:eastAsia="楷体" w:cs="楷体"/>
          <w:sz w:val="32"/>
          <w:szCs w:val="32"/>
          <w:lang w:val="en-US" w:eastAsia="zh-CN"/>
        </w:rPr>
        <w:t>（各盟行政公署、市人民政府，自治区能源局、发展改革委、工业和信息化厅按职责分工负责）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（三）开展新增大负荷绿电应用试点，促进新增用电负荷直接消纳新能源。</w:t>
      </w:r>
      <w:r>
        <w:rPr>
          <w:rFonts w:hint="eastAsia" w:ascii="仿宋" w:hAnsi="仿宋" w:eastAsia="仿宋" w:cs="仿宋"/>
          <w:sz w:val="32"/>
          <w:szCs w:val="32"/>
          <w:lang w:eastAsia="zh-CN"/>
        </w:rPr>
        <w:t>对于</w:t>
      </w:r>
      <w:r>
        <w:rPr>
          <w:rFonts w:hint="eastAsia" w:ascii="仿宋" w:hAnsi="仿宋" w:eastAsia="仿宋" w:cs="仿宋"/>
          <w:sz w:val="32"/>
          <w:szCs w:val="32"/>
          <w:lang w:val="en-US" w:eastAsia="zh-CN"/>
        </w:rPr>
        <w:t>符合国家及自治区产业节能等政策要求、对拉动工业经济增长作用明显且年用电量50亿千瓦时以上的重大项目，</w:t>
      </w:r>
      <w:r>
        <w:rPr>
          <w:rFonts w:hint="eastAsia" w:ascii="仿宋" w:hAnsi="仿宋" w:eastAsia="仿宋" w:cs="仿宋"/>
          <w:sz w:val="32"/>
          <w:szCs w:val="32"/>
          <w:lang w:eastAsia="zh-CN"/>
        </w:rPr>
        <w:t>按照“一事一议”原则制定高比例绿电供应解决方案。</w:t>
      </w:r>
      <w:r>
        <w:rPr>
          <w:rFonts w:hint="eastAsia" w:ascii="楷体" w:hAnsi="楷体" w:eastAsia="楷体" w:cs="楷体"/>
          <w:sz w:val="32"/>
          <w:szCs w:val="32"/>
          <w:lang w:val="en-US" w:eastAsia="zh-CN"/>
        </w:rPr>
        <w:t>（各盟行政公署、市人民政府，自治区能源局、发展改革委、工业和信息化厅按职责分工负责）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四）开展新能源与战略性高精尖装备制造项目合作，促进新能源产业链集群消纳新能源。深入实施延链补链行动，制定区内新能源发电企业与高精尖装备制造企业深度合作工作方案，对于填补自治区产业链空白的高端新能源装备制造产业，通过各类市场交易满足项目绿电需求。</w:t>
      </w:r>
      <w:r>
        <w:rPr>
          <w:rFonts w:hint="eastAsia" w:ascii="楷体" w:hAnsi="楷体" w:eastAsia="楷体" w:cs="楷体"/>
          <w:sz w:val="32"/>
          <w:szCs w:val="32"/>
          <w:lang w:val="en-US" w:eastAsia="zh-CN"/>
        </w:rPr>
        <w:t>（自治区工业和信息化厅、发展改革委、能源局按职责分工负责）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（五）实施增量配电网消纳新能源试点，提升区域新能源消纳能力。大力推动增量配电网规划建设，鼓励电网企业与地区国资</w:t>
      </w:r>
      <w:r>
        <w:rPr>
          <w:rFonts w:hint="eastAsia" w:ascii="仿宋" w:hAnsi="仿宋" w:eastAsia="仿宋" w:cs="仿宋"/>
          <w:spacing w:val="6"/>
          <w:sz w:val="32"/>
          <w:szCs w:val="32"/>
          <w:lang w:val="en-US" w:eastAsia="zh-CN"/>
        </w:rPr>
        <w:t>能源投资企业建立长期战略合作关系，合资共建增量配电</w:t>
      </w:r>
      <w:r>
        <w:rPr>
          <w:rFonts w:hint="eastAsia" w:ascii="仿宋" w:hAnsi="仿宋" w:eastAsia="仿宋" w:cs="仿宋"/>
          <w:sz w:val="32"/>
          <w:szCs w:val="32"/>
          <w:lang w:val="en-US" w:eastAsia="zh-CN"/>
        </w:rPr>
        <w:t>网。制定增量配电网消纳新能源实施细则，探索增量配电网提高新能源消纳比例的相关机制，完善增量配电网内新能源运行管理、市场交易政策。</w:t>
      </w:r>
      <w:r>
        <w:rPr>
          <w:rFonts w:hint="eastAsia" w:ascii="楷体" w:hAnsi="楷体" w:eastAsia="楷体" w:cs="楷体"/>
          <w:sz w:val="32"/>
          <w:szCs w:val="32"/>
          <w:lang w:val="en-US" w:eastAsia="zh-CN"/>
        </w:rPr>
        <w:t>〔各盟行政公署、市人民政府，自治区能源局、内蒙古电力（集团）公司、国网蒙东电力公司按职责分工负责〕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（六）实施充电基础设施消纳新能源试点，提高新兴用电市场消纳新能源能力。</w:t>
      </w:r>
      <w:r>
        <w:rPr>
          <w:rFonts w:hint="eastAsia" w:ascii="仿宋" w:hAnsi="仿宋" w:eastAsia="仿宋" w:cs="仿宋"/>
          <w:sz w:val="32"/>
          <w:szCs w:val="32"/>
          <w:lang w:eastAsia="zh-CN"/>
        </w:rPr>
        <w:t>重点围绕高速公路服务区（停车区）、旅游景区、煤矿矿区等应用场景，充分利用分布式分散式新能源资源，统</w:t>
      </w:r>
      <w:r>
        <w:rPr>
          <w:rFonts w:hint="eastAsia" w:ascii="仿宋" w:hAnsi="仿宋" w:eastAsia="仿宋" w:cs="仿宋"/>
          <w:spacing w:val="-6"/>
          <w:sz w:val="32"/>
          <w:szCs w:val="32"/>
          <w:lang w:eastAsia="zh-CN"/>
        </w:rPr>
        <w:t>筹规划布局新能源、充换电站和储能设施。</w:t>
      </w:r>
      <w:r>
        <w:rPr>
          <w:rFonts w:hint="eastAsia" w:ascii="楷体" w:hAnsi="楷体" w:eastAsia="楷体" w:cs="楷体"/>
          <w:spacing w:val="-6"/>
          <w:sz w:val="32"/>
          <w:szCs w:val="32"/>
          <w:lang w:val="en-US" w:eastAsia="zh-CN"/>
        </w:rPr>
        <w:t>（各盟行政公</w:t>
      </w:r>
      <w:r>
        <w:rPr>
          <w:rFonts w:hint="eastAsia" w:ascii="楷体" w:hAnsi="楷体" w:eastAsia="楷体" w:cs="楷体"/>
          <w:sz w:val="32"/>
          <w:szCs w:val="32"/>
          <w:lang w:val="en-US" w:eastAsia="zh-CN"/>
        </w:rPr>
        <w:t>署、市人民政府，自治区能源局、交通运输厅、文化和旅游厅等部门按职责分工负责）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（七）实施新能源供暖试点示范。制定新能源供暖</w:t>
      </w:r>
      <w:r>
        <w:rPr>
          <w:rFonts w:hint="eastAsia" w:ascii="仿宋" w:hAnsi="仿宋" w:eastAsia="仿宋" w:cs="仿宋"/>
          <w:spacing w:val="-6"/>
          <w:sz w:val="32"/>
          <w:szCs w:val="32"/>
          <w:lang w:val="en-US" w:eastAsia="zh-CN"/>
        </w:rPr>
        <w:t>示范政策，</w:t>
      </w:r>
      <w:r>
        <w:rPr>
          <w:rFonts w:hint="eastAsia" w:ascii="仿宋" w:hAnsi="仿宋" w:eastAsia="仿宋" w:cs="仿宋"/>
          <w:sz w:val="32"/>
          <w:szCs w:val="32"/>
          <w:lang w:val="en-US" w:eastAsia="zh-CN"/>
        </w:rPr>
        <w:t>采用新能源直供模式，满足一定区域内“煤改电”电力需求。</w:t>
      </w:r>
      <w:r>
        <w:rPr>
          <w:rFonts w:hint="eastAsia" w:ascii="楷体" w:hAnsi="楷体" w:eastAsia="楷体" w:cs="楷体"/>
          <w:sz w:val="32"/>
          <w:szCs w:val="32"/>
          <w:lang w:val="en-US" w:eastAsia="zh-CN"/>
        </w:rPr>
        <w:t>（各盟行政公署、市人民政府，自治区能源局、住房城乡建设厅，电网企业按职责分工负责）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（八）推动新能源制氢及下游产业链延伸，充分发挥新能源边际效益快速壮大制氢产业。</w:t>
      </w:r>
      <w:r>
        <w:rPr>
          <w:rFonts w:hint="eastAsia" w:ascii="仿宋" w:hAnsi="仿宋" w:eastAsia="仿宋" w:cs="仿宋"/>
          <w:sz w:val="32"/>
          <w:szCs w:val="32"/>
          <w:lang w:eastAsia="zh-CN"/>
        </w:rPr>
        <w:t>科学预测未来</w:t>
      </w:r>
      <w:r>
        <w:rPr>
          <w:rFonts w:hint="eastAsia" w:ascii="仿宋" w:hAnsi="仿宋" w:eastAsia="仿宋" w:cs="仿宋"/>
          <w:sz w:val="32"/>
          <w:szCs w:val="32"/>
          <w:lang w:val="en-US" w:eastAsia="zh-CN"/>
        </w:rPr>
        <w:t>3—5年全区新能源利用水平及变化趋势，研究制定利用制氢设施及配套储能消纳风光电量的政策措施。</w:t>
      </w:r>
      <w:r>
        <w:rPr>
          <w:rFonts w:hint="eastAsia" w:ascii="楷体" w:hAnsi="楷体" w:eastAsia="楷体" w:cs="楷体"/>
          <w:sz w:val="32"/>
          <w:szCs w:val="32"/>
          <w:lang w:val="en-US" w:eastAsia="zh-CN"/>
        </w:rPr>
        <w:t>（自治区能源局、工业和信息化厅，电网企业</w:t>
      </w:r>
      <w:r>
        <w:rPr>
          <w:rFonts w:hint="eastAsia" w:ascii="楷体" w:hAnsi="楷体" w:eastAsia="楷体" w:cs="楷体"/>
          <w:sz w:val="32"/>
          <w:szCs w:val="32"/>
          <w:lang w:eastAsia="zh-CN"/>
        </w:rPr>
        <w:t>按职责分工负责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九）完善产业、新能源、电网一体化布局，促进新能源资源要素高效配置。以系统观念统筹实施产业、新能源、电网规划布局顶层设计，实施关键领域技术改造和机制创新，促进新能源、电网等各类基本要素有效配置，推动产业结构优化升级。</w:t>
      </w:r>
      <w:r>
        <w:rPr>
          <w:rFonts w:hint="eastAsia" w:ascii="楷体" w:hAnsi="楷体" w:eastAsia="楷体" w:cs="楷体"/>
          <w:sz w:val="32"/>
          <w:szCs w:val="32"/>
          <w:lang w:val="en-US" w:eastAsia="zh-CN"/>
        </w:rPr>
        <w:t>（自治区能源局、发展改革委、工业和信息化厅，电网企业按职责分工负责）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（十）加大招商引资力度，扩大新能源消纳“基本</w:t>
      </w:r>
      <w:r>
        <w:rPr>
          <w:rFonts w:hint="eastAsia" w:ascii="仿宋" w:hAnsi="仿宋" w:eastAsia="仿宋" w:cs="仿宋"/>
          <w:spacing w:val="-6"/>
          <w:sz w:val="32"/>
          <w:szCs w:val="32"/>
          <w:lang w:val="en-US" w:eastAsia="zh-CN"/>
        </w:rPr>
        <w:t>面”。制定</w:t>
      </w:r>
      <w:r>
        <w:rPr>
          <w:rFonts w:hint="eastAsia" w:ascii="仿宋" w:hAnsi="仿宋" w:eastAsia="仿宋" w:cs="仿宋"/>
          <w:sz w:val="32"/>
          <w:szCs w:val="32"/>
          <w:lang w:val="en-US" w:eastAsia="zh-CN"/>
        </w:rPr>
        <w:t>招商引资重点产业重点企业清单，开展产业链招商引资，持续宣传自治区新能源有关政策，不断提升绿电“吸引力”和消纳量。</w:t>
      </w:r>
      <w:r>
        <w:rPr>
          <w:rFonts w:hint="eastAsia" w:ascii="楷体" w:hAnsi="楷体" w:eastAsia="楷体" w:cs="楷体"/>
          <w:sz w:val="32"/>
          <w:szCs w:val="32"/>
          <w:lang w:val="en-US" w:eastAsia="zh-CN"/>
        </w:rPr>
        <w:t>（自治区工业和信息化厅、能源局、商务厅按职责分工负责）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二、有效扩大新能源外送规模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一）提升存量外送通道输送新能源规模，优化新能源消纳结构。优化完善电网网架结构，提升存量外送通道配套电源调节能力，提高存量外送通道输电能力和新能源电量占比。加强跨省（区、市）新能源合作，扩大新能源区外消纳市场。2025年底前，新能源外送电量每年新增100亿千瓦时左右。</w:t>
      </w:r>
      <w:r>
        <w:rPr>
          <w:rFonts w:hint="eastAsia" w:ascii="楷体" w:hAnsi="楷体" w:eastAsia="楷体" w:cs="楷体"/>
          <w:sz w:val="32"/>
          <w:szCs w:val="32"/>
          <w:lang w:val="en-US" w:eastAsia="zh-CN"/>
        </w:rPr>
        <w:t>（自治区能源局，各电网企业按职责分工负责）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二）研究规划新增电力外送通道，稳步提升新能源外送能力。推动锡林郭勒盟浑善达克沙地至京津冀输电通道以及蒙西地区四大沙漠后续电力外送通道尽早纳入国家规划，实施跨省（区、市）消纳新能源项目，大幅提高新能源外送消纳</w:t>
      </w:r>
      <w:r>
        <w:rPr>
          <w:rFonts w:hint="eastAsia" w:ascii="仿宋" w:hAnsi="仿宋" w:eastAsia="仿宋" w:cs="仿宋"/>
          <w:spacing w:val="-6"/>
          <w:sz w:val="32"/>
          <w:szCs w:val="32"/>
          <w:lang w:val="en-US" w:eastAsia="zh-CN"/>
        </w:rPr>
        <w:t>能力。“十</w:t>
      </w:r>
      <w:r>
        <w:rPr>
          <w:rFonts w:hint="eastAsia" w:ascii="仿宋" w:hAnsi="仿宋" w:eastAsia="仿宋" w:cs="仿宋"/>
          <w:sz w:val="32"/>
          <w:szCs w:val="32"/>
          <w:lang w:val="en-US" w:eastAsia="zh-CN"/>
        </w:rPr>
        <w:t>五五”期间，新增新能源外送电量1000亿千瓦时左右。</w:t>
      </w:r>
      <w:r>
        <w:rPr>
          <w:rFonts w:hint="eastAsia" w:ascii="楷体" w:hAnsi="楷体" w:eastAsia="楷体" w:cs="楷体"/>
          <w:sz w:val="32"/>
          <w:szCs w:val="32"/>
          <w:lang w:val="en-US" w:eastAsia="zh-CN"/>
        </w:rPr>
        <w:t>（自治区能源局负责）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三）推动新能源优先参与区外电力市场交易，扩大新能源市场化交易规模。推动自治区特高压、“点对网”存量外送通道配套新能源项目优先参与区外电力市场交易，推动新能源项目参与蒙西至华北、蒙东送东北500千伏“网对网”通道电力市场交易，提高外送新能源市场交易规模。到2025年，外送新能源市</w:t>
      </w:r>
      <w:r>
        <w:rPr>
          <w:rFonts w:hint="eastAsia" w:ascii="仿宋" w:hAnsi="仿宋" w:eastAsia="仿宋" w:cs="仿宋"/>
          <w:spacing w:val="6"/>
          <w:sz w:val="32"/>
          <w:szCs w:val="32"/>
          <w:lang w:val="en-US" w:eastAsia="zh-CN"/>
        </w:rPr>
        <w:t>场化电量达到300亿千瓦时左右。</w:t>
      </w:r>
      <w:r>
        <w:rPr>
          <w:rFonts w:hint="eastAsia" w:ascii="楷体" w:hAnsi="楷体" w:eastAsia="楷体" w:cs="楷体"/>
          <w:spacing w:val="6"/>
          <w:sz w:val="32"/>
          <w:szCs w:val="32"/>
          <w:lang w:val="en-US" w:eastAsia="zh-CN"/>
        </w:rPr>
        <w:t>（自治区工业和信息化</w:t>
      </w:r>
      <w:r>
        <w:rPr>
          <w:rFonts w:hint="eastAsia" w:ascii="楷体" w:hAnsi="楷体" w:eastAsia="楷体" w:cs="楷体"/>
          <w:sz w:val="32"/>
          <w:szCs w:val="32"/>
          <w:lang w:val="en-US" w:eastAsia="zh-CN"/>
        </w:rPr>
        <w:t>厅、能源局按职责分工负责）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CN"/>
        </w:rPr>
        <w:t>三、提升电力系统调节能力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（十四）按照“应改尽改、能改早改”的原则，有序推动具备改造条件的公用燃煤机组开展灵活性改造，落实国家煤电容量补偿</w:t>
      </w:r>
      <w:r>
        <w:rPr>
          <w:rFonts w:hint="eastAsia" w:ascii="仿宋" w:hAnsi="仿宋" w:eastAsia="仿宋" w:cs="仿宋"/>
          <w:spacing w:val="6"/>
          <w:sz w:val="32"/>
          <w:szCs w:val="32"/>
          <w:lang w:val="en-US" w:eastAsia="zh-CN"/>
        </w:rPr>
        <w:t>政策，试点开展特高压通道配套煤电和新能源发电权</w:t>
      </w:r>
      <w:r>
        <w:rPr>
          <w:rFonts w:hint="eastAsia" w:ascii="仿宋" w:hAnsi="仿宋" w:eastAsia="仿宋" w:cs="仿宋"/>
          <w:sz w:val="32"/>
          <w:szCs w:val="32"/>
          <w:lang w:val="en-US" w:eastAsia="zh-CN"/>
        </w:rPr>
        <w:t>交易，激励煤电机组积极参与调峰。“十四五”期间，完成3000万千瓦燃煤机组灵活性改造，新增系统调节能力300万千瓦左右。</w:t>
      </w:r>
      <w:r>
        <w:rPr>
          <w:rFonts w:hint="eastAsia" w:ascii="楷体" w:hAnsi="楷体" w:eastAsia="楷体" w:cs="楷体"/>
          <w:sz w:val="32"/>
          <w:szCs w:val="32"/>
          <w:lang w:val="en-US" w:eastAsia="zh-CN"/>
        </w:rPr>
        <w:t>（自治区能源局负责）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（十五）</w:t>
      </w:r>
      <w:r>
        <w:rPr>
          <w:rFonts w:hint="eastAsia" w:ascii="仿宋" w:hAnsi="仿宋" w:eastAsia="仿宋" w:cs="仿宋"/>
          <w:sz w:val="32"/>
          <w:szCs w:val="32"/>
          <w:lang w:eastAsia="zh-CN"/>
        </w:rPr>
        <w:t>完</w:t>
      </w:r>
      <w:r>
        <w:rPr>
          <w:rFonts w:hint="eastAsia" w:ascii="仿宋" w:hAnsi="仿宋" w:eastAsia="仿宋" w:cs="仿宋"/>
          <w:spacing w:val="6"/>
          <w:sz w:val="32"/>
          <w:szCs w:val="32"/>
          <w:lang w:eastAsia="zh-CN"/>
        </w:rPr>
        <w:t>善储能政策体系，规划建设新型独立储能电</w:t>
      </w:r>
      <w:r>
        <w:rPr>
          <w:rFonts w:hint="eastAsia" w:ascii="仿宋" w:hAnsi="仿宋" w:eastAsia="仿宋" w:cs="仿宋"/>
          <w:sz w:val="32"/>
          <w:szCs w:val="32"/>
          <w:lang w:eastAsia="zh-CN"/>
        </w:rPr>
        <w:t>站，推动储能发挥新能源消纳作用。</w:t>
      </w:r>
      <w:r>
        <w:rPr>
          <w:rFonts w:hint="eastAsia" w:ascii="仿宋" w:hAnsi="仿宋" w:eastAsia="仿宋" w:cs="仿宋"/>
          <w:sz w:val="32"/>
          <w:szCs w:val="32"/>
          <w:lang w:val="en-US" w:eastAsia="zh-CN"/>
        </w:rPr>
        <w:t>制定储能容量补偿机制，完善储能调度运行机制及电力市场交易机制</w:t>
      </w:r>
      <w:r>
        <w:rPr>
          <w:rFonts w:hint="eastAsia" w:ascii="仿宋" w:hAnsi="仿宋" w:eastAsia="仿宋" w:cs="仿宋"/>
          <w:sz w:val="32"/>
          <w:szCs w:val="32"/>
          <w:lang w:eastAsia="zh-CN"/>
        </w:rPr>
        <w:t>。在电网侧</w:t>
      </w:r>
      <w:r>
        <w:rPr>
          <w:rFonts w:hint="eastAsia" w:ascii="仿宋" w:hAnsi="仿宋" w:eastAsia="仿宋" w:cs="仿宋"/>
          <w:sz w:val="32"/>
          <w:szCs w:val="32"/>
          <w:lang w:val="en-US" w:eastAsia="zh-CN"/>
        </w:rPr>
        <w:t>布局建设</w:t>
      </w:r>
      <w:r>
        <w:rPr>
          <w:rFonts w:hint="eastAsia" w:ascii="仿宋" w:hAnsi="仿宋" w:eastAsia="仿宋" w:cs="仿宋"/>
          <w:sz w:val="32"/>
          <w:szCs w:val="32"/>
          <w:lang w:eastAsia="zh-CN"/>
        </w:rPr>
        <w:t>新型独立储能电站，鼓励</w:t>
      </w:r>
      <w:r>
        <w:rPr>
          <w:rFonts w:hint="eastAsia" w:ascii="仿宋" w:hAnsi="仿宋" w:eastAsia="仿宋" w:cs="仿宋"/>
          <w:sz w:val="32"/>
          <w:szCs w:val="32"/>
          <w:lang w:val="en-US" w:eastAsia="zh-CN"/>
        </w:rPr>
        <w:t>新能源配建储能在满足要求的前提下转为电源侧独立储能电站</w:t>
      </w:r>
      <w:r>
        <w:rPr>
          <w:rFonts w:hint="eastAsia" w:ascii="仿宋" w:hAnsi="仿宋" w:eastAsia="仿宋" w:cs="仿宋"/>
          <w:sz w:val="32"/>
          <w:szCs w:val="32"/>
          <w:lang w:eastAsia="zh-CN"/>
        </w:rPr>
        <w:t>。到2025</w:t>
      </w:r>
      <w:r>
        <w:rPr>
          <w:rFonts w:hint="eastAsia" w:ascii="仿宋" w:hAnsi="仿宋" w:eastAsia="仿宋" w:cs="仿宋"/>
          <w:sz w:val="32"/>
          <w:szCs w:val="32"/>
          <w:lang w:val="en-US" w:eastAsia="zh-CN"/>
        </w:rPr>
        <w:t>年底</w:t>
      </w:r>
      <w:r>
        <w:rPr>
          <w:rFonts w:hint="eastAsia" w:ascii="仿宋" w:hAnsi="仿宋" w:eastAsia="仿宋" w:cs="仿宋"/>
          <w:sz w:val="32"/>
          <w:szCs w:val="32"/>
          <w:lang w:eastAsia="zh-CN"/>
        </w:rPr>
        <w:t>，电网侧储能规模达到300万千瓦以上，电源侧储能规模达到600万千瓦以上。</w:t>
      </w:r>
      <w:r>
        <w:rPr>
          <w:rFonts w:hint="eastAsia" w:ascii="楷体" w:hAnsi="楷体" w:eastAsia="楷体" w:cs="楷体"/>
          <w:sz w:val="32"/>
          <w:szCs w:val="32"/>
          <w:lang w:val="en-US" w:eastAsia="zh-CN"/>
        </w:rPr>
        <w:t>（自治区能源局、工业和信息化厅，电网企业按职责分工负责）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规划建设抽水蓄能电站，提升系统调节能力。严格开展抽水蓄能电站规划评估论证，在具备水资源、生态环保等条件地区、新能源富集地区推动一批抽水蓄能电站纳入国家规划。推动在建抽水蓄能项目加快建设速度。到2030年，全区建成抽水蓄能规模达到1000万千瓦，开工建设抽水蓄能电站规模达到1500万千瓦以上。</w:t>
      </w:r>
      <w:r>
        <w:rPr>
          <w:rFonts w:hint="eastAsia" w:ascii="楷体" w:hAnsi="楷体" w:eastAsia="楷体" w:cs="楷体"/>
          <w:sz w:val="32"/>
          <w:szCs w:val="32"/>
          <w:lang w:val="en-US" w:eastAsia="zh-CN"/>
        </w:rPr>
        <w:t>（各盟行政公署、市人民政府，自治区能源局、生态环境厅、水利厅，电网企业按职责分工负责）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（十七）夯实“智能调度”基础，发挥电网要素配置能力提升新能源消纳。制定“智能调度”三年行动计划，进一步提高电网</w:t>
      </w:r>
      <w:r>
        <w:rPr>
          <w:rFonts w:hint="eastAsia" w:ascii="仿宋" w:hAnsi="仿宋" w:eastAsia="仿宋" w:cs="仿宋"/>
          <w:spacing w:val="-6"/>
          <w:sz w:val="32"/>
          <w:szCs w:val="32"/>
          <w:lang w:val="en-US" w:eastAsia="zh-CN"/>
        </w:rPr>
        <w:t>智能化自动化水平，开展“智能调度”技术路线及路径研究，</w:t>
      </w:r>
      <w:r>
        <w:rPr>
          <w:rFonts w:hint="eastAsia" w:ascii="仿宋" w:hAnsi="仿宋" w:eastAsia="仿宋" w:cs="仿宋"/>
          <w:sz w:val="32"/>
          <w:szCs w:val="32"/>
          <w:lang w:val="en-US" w:eastAsia="zh-CN"/>
        </w:rPr>
        <w:t>提高新能源利用水平。</w:t>
      </w:r>
      <w:r>
        <w:rPr>
          <w:rFonts w:hint="eastAsia" w:ascii="楷体" w:hAnsi="楷体" w:eastAsia="楷体" w:cs="楷体"/>
          <w:sz w:val="32"/>
          <w:szCs w:val="32"/>
          <w:lang w:val="en-US" w:eastAsia="zh-CN"/>
        </w:rPr>
        <w:t>（自治区能源局，电网企业按职责分工负责）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四、完善新能源价格和市场交易政策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八）保障新能源交易市场价格在合理区间，稳定新能源市场预期。引导新能源发电价格在合理区间运行，稳定新能源市场预期。以电力现货市场出清价格为基础，稳步调整电力现货市场新能源结算机制，采取多种举措引导新能源发电价格在合理区间运行。</w:t>
      </w:r>
      <w:r>
        <w:rPr>
          <w:rFonts w:hint="eastAsia" w:ascii="楷体" w:hAnsi="楷体" w:eastAsia="楷体" w:cs="楷体"/>
          <w:sz w:val="32"/>
          <w:szCs w:val="32"/>
          <w:lang w:val="en-US" w:eastAsia="zh-CN"/>
        </w:rPr>
        <w:t>（自治区发展改革委、工业和信息化厅、能源局，电网企业、电力交易机构按职责分工负责）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九）创新市场化新能源项目与用电负荷结算模式，促进用电负荷消费更多绿电。在遵守电力市场交易规则前提下，市场化新能源项目与配套用电负荷可通过签订长期合作协议方式，与电网公司协商一致后，由所在地电力交易机构协助代为执行和结算。</w:t>
      </w:r>
      <w:r>
        <w:rPr>
          <w:rFonts w:hint="eastAsia" w:ascii="楷体" w:hAnsi="楷体" w:eastAsia="楷体" w:cs="楷体"/>
          <w:sz w:val="32"/>
          <w:szCs w:val="32"/>
          <w:lang w:val="en-US" w:eastAsia="zh-CN"/>
        </w:rPr>
        <w:t>（自治区工业和信息化厅，电网企业、电力交易机构按职责分工负责）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（二十）持续优化电价政策，充分发挥电价引导作用，促进新能源消纳。源网荷储、风光制氢等新能源自备电站，自发自用电量暂不征收系统备用费和政策性交叉补贴，待国家相应政策出台后，按国家政策执行</w:t>
      </w:r>
      <w:r>
        <w:rPr>
          <w:rFonts w:hint="eastAsia" w:ascii="仿宋" w:hAnsi="仿宋" w:eastAsia="仿宋" w:cs="仿宋"/>
          <w:sz w:val="32"/>
          <w:szCs w:val="32"/>
          <w:lang w:eastAsia="zh-CN"/>
        </w:rPr>
        <w:t>。</w:t>
      </w:r>
      <w:r>
        <w:rPr>
          <w:rFonts w:hint="eastAsia" w:ascii="楷体" w:hAnsi="楷体" w:eastAsia="楷体" w:cs="楷体"/>
          <w:sz w:val="32"/>
          <w:szCs w:val="32"/>
          <w:lang w:val="en-US" w:eastAsia="zh-CN"/>
        </w:rPr>
        <w:t>（自治区发展改革委、能源局按职责分工负责）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五、强化监督管理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（二十一）完</w:t>
      </w:r>
      <w:r>
        <w:rPr>
          <w:rFonts w:hint="eastAsia" w:ascii="仿宋" w:hAnsi="仿宋" w:eastAsia="仿宋" w:cs="仿宋"/>
          <w:spacing w:val="-6"/>
          <w:sz w:val="32"/>
          <w:szCs w:val="32"/>
          <w:lang w:val="en-US" w:eastAsia="zh-CN"/>
        </w:rPr>
        <w:t>善消纳政策执行通报机制，加强新能源开发、</w:t>
      </w:r>
      <w:r>
        <w:rPr>
          <w:rFonts w:hint="eastAsia" w:ascii="仿宋" w:hAnsi="仿宋" w:eastAsia="仿宋" w:cs="仿宋"/>
          <w:sz w:val="32"/>
          <w:szCs w:val="32"/>
          <w:lang w:val="en-US" w:eastAsia="zh-CN"/>
        </w:rPr>
        <w:t>建设的调度管理，定期研判和通报新能源消纳政策执行情况，不断提高政策执行力，确保政策落实到位。</w:t>
      </w:r>
      <w:r>
        <w:rPr>
          <w:rFonts w:hint="eastAsia" w:ascii="楷体" w:hAnsi="楷体" w:eastAsia="楷体" w:cs="楷体"/>
          <w:sz w:val="32"/>
          <w:szCs w:val="32"/>
          <w:lang w:val="en-US" w:eastAsia="zh-CN"/>
        </w:rPr>
        <w:t>（自治区能源局负责）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（二十二）建</w:t>
      </w:r>
      <w:r>
        <w:rPr>
          <w:rFonts w:hint="eastAsia" w:ascii="仿宋" w:hAnsi="仿宋" w:eastAsia="仿宋" w:cs="仿宋"/>
          <w:spacing w:val="-6"/>
          <w:sz w:val="32"/>
          <w:szCs w:val="32"/>
          <w:lang w:val="en-US" w:eastAsia="zh-CN"/>
        </w:rPr>
        <w:t>立新能源调峰考核机制，统筹电力供需形势、</w:t>
      </w:r>
      <w:r>
        <w:rPr>
          <w:rFonts w:hint="eastAsia" w:ascii="仿宋" w:hAnsi="仿宋" w:eastAsia="仿宋" w:cs="仿宋"/>
          <w:sz w:val="32"/>
          <w:szCs w:val="32"/>
          <w:lang w:val="en-US" w:eastAsia="zh-CN"/>
        </w:rPr>
        <w:t>新能源运行状况以及电力系统安全稳定运行要求，制定调峰考核办法，</w:t>
      </w:r>
      <w:r>
        <w:rPr>
          <w:rFonts w:hint="eastAsia" w:ascii="仿宋" w:hAnsi="仿宋" w:eastAsia="仿宋" w:cs="仿宋"/>
          <w:spacing w:val="-6"/>
          <w:sz w:val="32"/>
          <w:szCs w:val="32"/>
          <w:lang w:val="en-US" w:eastAsia="zh-CN"/>
        </w:rPr>
        <w:t>明确电网、调节性电源、储能、用户各方调峰责任、目标、</w:t>
      </w:r>
      <w:r>
        <w:rPr>
          <w:rFonts w:hint="eastAsia" w:ascii="仿宋" w:hAnsi="仿宋" w:eastAsia="仿宋" w:cs="仿宋"/>
          <w:sz w:val="32"/>
          <w:szCs w:val="32"/>
          <w:lang w:val="en-US" w:eastAsia="zh-CN"/>
        </w:rPr>
        <w:t>任务及具体要求，充分发挥电力系统整体调节能力。</w:t>
      </w:r>
      <w:r>
        <w:rPr>
          <w:rFonts w:hint="eastAsia" w:ascii="楷体" w:hAnsi="楷体" w:eastAsia="楷体" w:cs="楷体"/>
          <w:sz w:val="32"/>
          <w:szCs w:val="32"/>
          <w:lang w:val="en-US" w:eastAsia="zh-CN"/>
        </w:rPr>
        <w:t>（自治区能源局负责）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0"/>
          <w:sz w:val="32"/>
          <w:szCs w:val="32"/>
          <w:lang w:val="en-US" w:eastAsia="zh-CN"/>
        </w:rPr>
      </w:pPr>
      <w:r>
        <w:rPr>
          <w:rFonts w:hint="eastAsia" w:ascii="仿宋" w:hAnsi="仿宋" w:eastAsia="仿宋" w:cs="仿宋"/>
          <w:sz w:val="32"/>
          <w:szCs w:val="32"/>
          <w:lang w:val="en-US" w:eastAsia="zh-CN"/>
        </w:rPr>
        <w:t>（二十三）持续加大新能源政策宣传解读力度，广泛宣传新能</w:t>
      </w:r>
      <w:r>
        <w:rPr>
          <w:rFonts w:hint="eastAsia" w:ascii="仿宋" w:hAnsi="仿宋" w:eastAsia="仿宋" w:cs="仿宋"/>
          <w:spacing w:val="6"/>
          <w:sz w:val="32"/>
          <w:szCs w:val="32"/>
          <w:lang w:val="en-US" w:eastAsia="zh-CN"/>
        </w:rPr>
        <w:t>源发展政策，采取网站公告、会议解读、召开新闻发布会等形式定期进行政策解读，提高政策宣传时效</w:t>
      </w:r>
      <w:r>
        <w:rPr>
          <w:rFonts w:hint="eastAsia" w:ascii="仿宋" w:hAnsi="仿宋" w:eastAsia="仿宋" w:cs="仿宋"/>
          <w:spacing w:val="0"/>
          <w:sz w:val="32"/>
          <w:szCs w:val="32"/>
          <w:lang w:val="en-US" w:eastAsia="zh-CN"/>
        </w:rPr>
        <w:t>性。</w:t>
      </w:r>
      <w:r>
        <w:rPr>
          <w:rFonts w:hint="eastAsia" w:ascii="楷体" w:hAnsi="楷体" w:eastAsia="楷体" w:cs="楷体"/>
          <w:spacing w:val="0"/>
          <w:sz w:val="32"/>
          <w:szCs w:val="32"/>
          <w:lang w:val="en-US" w:eastAsia="zh-CN"/>
        </w:rPr>
        <w:t>（自治区能源局负责）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tabs>
          <w:tab w:val="left" w:pos="7680"/>
        </w:tabs>
        <w:kinsoku/>
        <w:wordWrap/>
        <w:overflowPunct/>
        <w:topLinePunct/>
        <w:autoSpaceDE/>
        <w:autoSpaceDN/>
        <w:bidi w:val="0"/>
        <w:adjustRightInd/>
        <w:snapToGrid/>
        <w:spacing w:line="580" w:lineRule="exact"/>
        <w:ind w:left="0" w:leftChars="0" w:firstLine="5177" w:firstLineChars="1618"/>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2023年12月5日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rPr>
      </w:pPr>
      <w:r>
        <w:rPr>
          <w:rFonts w:hint="eastAsia" w:ascii="仿宋" w:hAnsi="仿宋" w:eastAsia="仿宋" w:cs="仿宋"/>
          <w:sz w:val="32"/>
          <w:szCs w:val="32"/>
          <w:lang w:val="en-US" w:eastAsia="zh-CN"/>
        </w:rPr>
        <w:t>（此件公开发布）</w:t>
      </w:r>
    </w:p>
    <w:bookmarkEnd w:id="2"/>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rPr>
      </w:pPr>
    </w:p>
    <w:p>
      <w:pPr>
        <w:rPr>
          <w:rFonts w:hint="eastAsia"/>
        </w:rPr>
      </w:pPr>
    </w:p>
    <w:p>
      <w:pPr>
        <w:rPr>
          <w:rFonts w:hint="eastAsia"/>
        </w:rPr>
      </w:pPr>
    </w:p>
    <w:p>
      <w:pPr>
        <w:pStyle w:val="2"/>
        <w:rPr>
          <w:rFonts w:hint="eastAsia"/>
        </w:rPr>
      </w:pPr>
    </w:p>
    <w:p>
      <w:pPr>
        <w:rPr>
          <w:rFonts w:hint="eastAsia"/>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rPr>
      </w:pPr>
    </w:p>
    <w:p>
      <w:pPr>
        <w:pStyle w:val="2"/>
        <w:rPr>
          <w:rFonts w:hint="eastAsia"/>
        </w:rPr>
      </w:pPr>
    </w:p>
    <w:tbl>
      <w:tblPr>
        <w:tblStyle w:val="17"/>
        <w:tblpPr w:leftFromText="180" w:rightFromText="180" w:vertAnchor="text" w:horzAnchor="page" w:tblpXSpec="center" w:tblpY="652"/>
        <w:tblOverlap w:val="never"/>
        <w:tblW w:w="8931"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rPr>
              <w:t>抄送：自治区党委</w:t>
            </w:r>
            <w:r>
              <w:rPr>
                <w:rFonts w:hint="eastAsia" w:ascii="仿宋" w:hAnsi="仿宋" w:eastAsia="仿宋" w:cs="仿宋"/>
                <w:sz w:val="28"/>
                <w:szCs w:val="28"/>
                <w:lang w:eastAsia="zh-CN"/>
              </w:rPr>
              <w:t>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自治区</w:t>
            </w:r>
            <w:r>
              <w:rPr>
                <w:rFonts w:hint="eastAsia" w:ascii="仿宋" w:hAnsi="仿宋" w:eastAsia="仿宋" w:cs="仿宋"/>
                <w:sz w:val="28"/>
                <w:szCs w:val="28"/>
              </w:rPr>
              <w:t>人大常委会办公厅、政协办公厅</w:t>
            </w:r>
            <w:r>
              <w:rPr>
                <w:rFonts w:hint="eastAsia" w:ascii="仿宋" w:hAnsi="仿宋" w:eastAsia="仿宋" w:cs="仿宋"/>
                <w:sz w:val="28"/>
                <w:szCs w:val="28"/>
                <w:lang w:eastAsia="zh-CN"/>
              </w:rPr>
              <w:t>，自治区监委，自治区高级人民法院，检察院。</w:t>
            </w:r>
          </w:p>
          <w:p>
            <w:pPr>
              <w:pStyle w:val="2"/>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9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日印发</w:t>
            </w:r>
          </w:p>
        </w:tc>
      </w:tr>
    </w:tbl>
    <w:p>
      <w:pPr>
        <w:adjustRightInd w:val="0"/>
        <w:snapToGrid w:val="0"/>
        <w:spacing w:line="580" w:lineRule="exact"/>
        <w:ind w:firstLine="640" w:firstLineChars="200"/>
        <w:outlineLvl w:val="0"/>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52120"/>
                                  <wp:effectExtent l="0" t="0" r="13335" b="5080"/>
                                  <wp:docPr id="2" name="图片 3" descr="2023120714405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1207144050_7056"/>
                                          <pic:cNvPicPr>
                                            <a:picLocks noChangeAspect="1"/>
                                          </pic:cNvPicPr>
                                        </pic:nvPicPr>
                                        <pic:blipFill>
                                          <a:blip r:embed="rId8"/>
                                          <a:stretch>
                                            <a:fillRect/>
                                          </a:stretch>
                                        </pic:blipFill>
                                        <pic:spPr>
                                          <a:xfrm>
                                            <a:off x="0" y="0"/>
                                            <a:ext cx="1758315" cy="45212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52120"/>
                            <wp:effectExtent l="0" t="0" r="13335" b="5080"/>
                            <wp:docPr id="2" name="图片 3" descr="2023120714405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1207144050_7056"/>
                                    <pic:cNvPicPr>
                                      <a:picLocks noChangeAspect="1"/>
                                    </pic:cNvPicPr>
                                  </pic:nvPicPr>
                                  <pic:blipFill>
                                    <a:blip r:embed="rId8"/>
                                    <a:stretch>
                                      <a:fillRect/>
                                    </a:stretch>
                                  </pic:blipFill>
                                  <pic:spPr>
                                    <a:xfrm>
                                      <a:off x="0" y="0"/>
                                      <a:ext cx="1758315" cy="45212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9452" w:y="-23"/>
      <w:rPr>
        <w:rStyle w:val="20"/>
        <w:rFonts w:hint="eastAsia" w:ascii="宋体" w:hAnsi="宋体"/>
        <w:sz w:val="28"/>
        <w:szCs w:val="28"/>
      </w:rPr>
    </w:pPr>
    <w:r>
      <w:rPr>
        <w:rFonts w:hint="eastAsia" w:ascii="宋体" w:hAnsi="宋体"/>
        <w:sz w:val="28"/>
        <w:szCs w:val="28"/>
      </w:rPr>
      <w:fldChar w:fldCharType="begin"/>
    </w:r>
    <w:r>
      <w:rPr>
        <w:rStyle w:val="20"/>
        <w:rFonts w:hint="eastAsia" w:ascii="宋体" w:hAnsi="宋体"/>
        <w:sz w:val="28"/>
        <w:szCs w:val="28"/>
      </w:rPr>
      <w:instrText xml:space="preserve">PAGE  </w:instrText>
    </w:r>
    <w:r>
      <w:rPr>
        <w:rFonts w:hint="eastAsia" w:ascii="宋体" w:hAnsi="宋体"/>
        <w:sz w:val="28"/>
        <w:szCs w:val="28"/>
      </w:rPr>
      <w:fldChar w:fldCharType="separate"/>
    </w:r>
    <w:r>
      <w:rPr>
        <w:rStyle w:val="20"/>
        <w:rFonts w:ascii="宋体" w:hAnsi="宋体"/>
        <w:sz w:val="28"/>
        <w:szCs w:val="28"/>
        <w:lang/>
      </w:rPr>
      <w:t>- 1 -</w:t>
    </w:r>
    <w:r>
      <w:rPr>
        <w:rFonts w:hint="eastAsia" w:ascii="宋体" w:hAnsi="宋体"/>
        <w:sz w:val="28"/>
        <w:szCs w:val="28"/>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1892" w:y="-23"/>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lang/>
      </w:rPr>
      <w:t>- 2 -</w:t>
    </w:r>
    <w:r>
      <w:rPr>
        <w:rFonts w:ascii="宋体" w:hAnsi="宋体"/>
        <w:sz w:val="28"/>
        <w:szCs w:val="28"/>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11B684E"/>
    <w:rsid w:val="023B43DC"/>
    <w:rsid w:val="05462E4F"/>
    <w:rsid w:val="074D26E8"/>
    <w:rsid w:val="0B7920F1"/>
    <w:rsid w:val="110F26B1"/>
    <w:rsid w:val="117F71CE"/>
    <w:rsid w:val="13404ED0"/>
    <w:rsid w:val="17362530"/>
    <w:rsid w:val="1A7D41CF"/>
    <w:rsid w:val="1E542DD6"/>
    <w:rsid w:val="1FD3237E"/>
    <w:rsid w:val="21CE0EBF"/>
    <w:rsid w:val="24485B15"/>
    <w:rsid w:val="2B313EAA"/>
    <w:rsid w:val="322D6746"/>
    <w:rsid w:val="3436400F"/>
    <w:rsid w:val="39772166"/>
    <w:rsid w:val="3A851764"/>
    <w:rsid w:val="3C20034E"/>
    <w:rsid w:val="3EA97209"/>
    <w:rsid w:val="40B97A3F"/>
    <w:rsid w:val="43B61CB1"/>
    <w:rsid w:val="456E4695"/>
    <w:rsid w:val="47135DA8"/>
    <w:rsid w:val="47903C8B"/>
    <w:rsid w:val="4B7231A9"/>
    <w:rsid w:val="4BB12688"/>
    <w:rsid w:val="4CDE0450"/>
    <w:rsid w:val="4EF77EA0"/>
    <w:rsid w:val="50022206"/>
    <w:rsid w:val="51650C56"/>
    <w:rsid w:val="51762C52"/>
    <w:rsid w:val="54115095"/>
    <w:rsid w:val="5425443B"/>
    <w:rsid w:val="54666A89"/>
    <w:rsid w:val="584F5B26"/>
    <w:rsid w:val="59135D83"/>
    <w:rsid w:val="5BAE3879"/>
    <w:rsid w:val="5BB11256"/>
    <w:rsid w:val="5FFFD1E2"/>
    <w:rsid w:val="63FA0049"/>
    <w:rsid w:val="64B86B45"/>
    <w:rsid w:val="6F2C465B"/>
    <w:rsid w:val="7667357B"/>
    <w:rsid w:val="76E45DF0"/>
    <w:rsid w:val="7BDF8B82"/>
    <w:rsid w:val="7CFBE750"/>
    <w:rsid w:val="7D164783"/>
    <w:rsid w:val="7E960D71"/>
    <w:rsid w:val="7ED9D99E"/>
    <w:rsid w:val="7F7E8D25"/>
    <w:rsid w:val="7FDFEAE4"/>
    <w:rsid w:val="9E7A2E87"/>
    <w:rsid w:val="BF7E988C"/>
    <w:rsid w:val="DAFE3724"/>
    <w:rsid w:val="E57E0CE6"/>
    <w:rsid w:val="EDEE583D"/>
    <w:rsid w:val="F63F669B"/>
    <w:rsid w:val="F792059B"/>
    <w:rsid w:val="FBFDD337"/>
    <w:rsid w:val="FFDCF721"/>
    <w:rsid w:val="FFFAB1DC"/>
    <w:rsid w:val="FFFF4A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9">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style>
  <w:style w:type="paragraph" w:styleId="2">
    <w:name w:val="Normal Indent"/>
    <w:basedOn w:val="1"/>
    <w:next w:val="1"/>
    <w:qFormat/>
    <w:uiPriority w:val="0"/>
    <w:pPr>
      <w:widowControl w:val="0"/>
      <w:suppressAutoHyphens/>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5">
    <w:name w:val="Document Map"/>
    <w:basedOn w:val="1"/>
    <w:semiHidden/>
    <w:uiPriority w:val="0"/>
    <w:pPr>
      <w:shd w:val="clear" w:color="auto" w:fill="000080"/>
    </w:pPr>
  </w:style>
  <w:style w:type="paragraph" w:styleId="6">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7">
    <w:name w:val="Body Text Indent"/>
    <w:basedOn w:val="1"/>
    <w:next w:val="8"/>
    <w:qFormat/>
    <w:uiPriority w:val="0"/>
    <w:pPr>
      <w:suppressAutoHyphens/>
      <w:bidi w:val="0"/>
      <w:spacing w:after="120"/>
      <w:ind w:left="420" w:leftChars="200"/>
    </w:pPr>
    <w:rPr>
      <w:rFonts w:ascii="Times New Roman" w:hAnsi="Times New Roman" w:eastAsia="宋体" w:cs="Times New Roman"/>
      <w:color w:val="auto"/>
      <w:sz w:val="32"/>
      <w:szCs w:val="32"/>
      <w:lang w:bidi="ar-SA"/>
    </w:rPr>
  </w:style>
  <w:style w:type="paragraph" w:styleId="8">
    <w:name w:val="envelope return"/>
    <w:basedOn w:val="1"/>
    <w:qFormat/>
    <w:uiPriority w:val="0"/>
    <w:pPr>
      <w:suppressAutoHyphens/>
      <w:bidi w:val="0"/>
      <w:snapToGrid w:val="0"/>
    </w:pPr>
    <w:rPr>
      <w:rFonts w:ascii="Arial" w:hAnsi="Arial" w:eastAsia="仿宋_GB2312" w:cs="Times New Roman"/>
      <w:color w:val="auto"/>
      <w:sz w:val="32"/>
      <w:szCs w:val="32"/>
      <w:lang w:bidi="ar-SA"/>
    </w:rPr>
  </w:style>
  <w:style w:type="paragraph" w:styleId="9">
    <w:name w:val="Date"/>
    <w:basedOn w:val="1"/>
    <w:next w:val="1"/>
    <w:link w:val="23"/>
    <w:uiPriority w:val="0"/>
    <w:pPr>
      <w:ind w:left="100" w:leftChars="2500"/>
    </w:pPr>
    <w:rPr>
      <w:rFonts w:ascii="仿宋_GB2312" w:eastAsia="仿宋_GB2312"/>
      <w:sz w:val="32"/>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6"/>
    <w:uiPriority w:val="0"/>
  </w:style>
  <w:style w:type="paragraph" w:styleId="14">
    <w:name w:val="Normal (Web)"/>
    <w:basedOn w:val="1"/>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paragraph" w:styleId="15">
    <w:name w:val="Body Text First Indent"/>
    <w:basedOn w:val="6"/>
    <w:next w:val="16"/>
    <w:qFormat/>
    <w:uiPriority w:val="0"/>
    <w:pPr>
      <w:suppressAutoHyphens/>
      <w:bidi w:val="0"/>
      <w:spacing w:before="0" w:after="120" w:line="240" w:lineRule="auto"/>
      <w:ind w:firstLine="420" w:firstLineChars="100"/>
    </w:pPr>
    <w:rPr>
      <w:rFonts w:ascii="Times New Roman" w:hAnsi="Times New Roman" w:eastAsia="宋体" w:cs="Times New Roman"/>
      <w:szCs w:val="32"/>
    </w:rPr>
  </w:style>
  <w:style w:type="paragraph" w:styleId="16">
    <w:name w:val="Body Text First Indent 2"/>
    <w:basedOn w:val="7"/>
    <w:next w:val="6"/>
    <w:qFormat/>
    <w:uiPriority w:val="0"/>
    <w:pPr>
      <w:widowControl/>
      <w:ind w:firstLine="420" w:firstLineChars="200"/>
      <w:jc w:val="left"/>
    </w:pPr>
    <w:rPr>
      <w:kern w:val="0"/>
      <w:sz w:val="24"/>
      <w:szCs w:val="24"/>
      <w:lang w:eastAsia="en-US"/>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uiPriority w:val="0"/>
  </w:style>
  <w:style w:type="paragraph" w:customStyle="1" w:styleId="21">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22">
    <w:name w:val="Heading"/>
    <w:basedOn w:val="1"/>
    <w:next w:val="6"/>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23">
    <w:name w:val=" Char Char2"/>
    <w:basedOn w:val="19"/>
    <w:link w:val="9"/>
    <w:uiPriority w:val="0"/>
    <w:rPr>
      <w:rFonts w:ascii="仿宋_GB2312" w:hAnsi="Times New Roman" w:eastAsia="仿宋_GB2312" w:cs="Times New Roman"/>
      <w:kern w:val="2"/>
      <w:sz w:val="32"/>
      <w:szCs w:val="24"/>
      <w:lang w:bidi="ar-SA"/>
    </w:rPr>
  </w:style>
  <w:style w:type="character" w:customStyle="1" w:styleId="24">
    <w:name w:val=" Char Char"/>
    <w:basedOn w:val="19"/>
    <w:link w:val="11"/>
    <w:semiHidden/>
    <w:uiPriority w:val="99"/>
    <w:rPr>
      <w:rFonts w:ascii="Calibri" w:hAnsi="Calibri" w:eastAsia="宋体" w:cs="Mongolian Baiti"/>
      <w:kern w:val="2"/>
      <w:sz w:val="18"/>
      <w:szCs w:val="22"/>
    </w:rPr>
  </w:style>
  <w:style w:type="character" w:customStyle="1" w:styleId="25">
    <w:name w:val=" Char Char1"/>
    <w:basedOn w:val="19"/>
    <w:link w:val="12"/>
    <w:semiHidden/>
    <w:uiPriority w:val="99"/>
    <w:rPr>
      <w:rFonts w:ascii="Calibri" w:hAnsi="Calibri" w:eastAsia="宋体" w:cs="Mongolian Baiti"/>
      <w:kern w:val="2"/>
      <w:sz w:val="18"/>
      <w:szCs w:val="22"/>
    </w:rPr>
  </w:style>
  <w:style w:type="character" w:customStyle="1" w:styleId="26">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2023-12-07T17:05:48Z</cp:lastPrinted>
  <dcterms:modified xsi:type="dcterms:W3CDTF">2023-12-11T02:26:21Z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