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val="0"/>
        <w:autoSpaceDN w:val="0"/>
        <w:bidi w:val="0"/>
        <w:adjustRightInd w:val="0"/>
        <w:snapToGrid/>
        <w:spacing w:line="580" w:lineRule="exact"/>
        <w:textAlignment w:val="auto"/>
        <w:rPr>
          <w:rFonts w:hint="eastAsia" w:ascii="方正黑体_GBK" w:hAnsi="方正黑体_GBK" w:eastAsia="方正黑体_GBK" w:cs="方正黑体_GBK"/>
          <w:b w:val="0"/>
          <w:bCs/>
          <w:sz w:val="32"/>
          <w:szCs w:val="32"/>
        </w:rPr>
      </w:pPr>
      <w:bookmarkStart w:id="0" w:name="_GoBack"/>
      <w:r>
        <w:rPr>
          <w:rFonts w:hint="eastAsia" w:ascii="方正黑体_GBK" w:hAnsi="方正黑体_GBK" w:eastAsia="方正黑体_GBK" w:cs="方正黑体_GBK"/>
          <w:b w:val="0"/>
          <w:bCs/>
          <w:sz w:val="32"/>
          <w:szCs w:val="32"/>
        </w:rPr>
        <w:t>附件2</w:t>
      </w:r>
    </w:p>
    <w:bookmarkEnd w:id="0"/>
    <w:p>
      <w:pPr>
        <w:pStyle w:val="4"/>
        <w:keepNext w:val="0"/>
        <w:keepLines w:val="0"/>
        <w:pageBreakBefore w:val="0"/>
        <w:shd w:val="clear" w:color="auto" w:fill="FFFFFF"/>
        <w:kinsoku/>
        <w:wordWrap/>
        <w:overflowPunct/>
        <w:topLinePunct w:val="0"/>
        <w:autoSpaceDE w:val="0"/>
        <w:autoSpaceDN w:val="0"/>
        <w:bidi w:val="0"/>
        <w:adjustRightInd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w w:val="90"/>
          <w:sz w:val="52"/>
          <w:szCs w:val="52"/>
        </w:rPr>
      </w:pPr>
      <w:r>
        <w:rPr>
          <w:rFonts w:hint="eastAsia" w:ascii="黑体" w:hAnsi="黑体" w:eastAsia="黑体" w:cs="黑体"/>
          <w:b w:val="0"/>
          <w:bCs/>
          <w:w w:val="90"/>
          <w:sz w:val="52"/>
          <w:szCs w:val="52"/>
        </w:rPr>
        <w:t>XX</w:t>
      </w:r>
      <w:r>
        <w:rPr>
          <w:rFonts w:hint="eastAsia" w:ascii="方正小标宋简体" w:hAnsi="方正小标宋简体" w:eastAsia="方正小标宋简体" w:cs="方正小标宋简体"/>
          <w:b w:val="0"/>
          <w:bCs/>
          <w:w w:val="90"/>
          <w:sz w:val="52"/>
          <w:szCs w:val="52"/>
        </w:rPr>
        <w:t>旗（县、</w:t>
      </w:r>
      <w:r>
        <w:rPr>
          <w:rFonts w:hint="eastAsia" w:ascii="方正小标宋简体" w:hAnsi="方正小标宋简体" w:eastAsia="方正小标宋简体" w:cs="方正小标宋简体"/>
          <w:b w:val="0"/>
          <w:bCs/>
          <w:w w:val="90"/>
          <w:sz w:val="52"/>
          <w:szCs w:val="52"/>
          <w:lang w:eastAsia="zh-CN"/>
        </w:rPr>
        <w:t>市、</w:t>
      </w:r>
      <w:r>
        <w:rPr>
          <w:rFonts w:hint="eastAsia" w:ascii="方正小标宋简体" w:hAnsi="方正小标宋简体" w:eastAsia="方正小标宋简体" w:cs="方正小标宋简体"/>
          <w:b w:val="0"/>
          <w:bCs/>
          <w:w w:val="90"/>
          <w:sz w:val="52"/>
          <w:szCs w:val="52"/>
        </w:rPr>
        <w:t>区）</w:t>
      </w:r>
      <w:r>
        <w:rPr>
          <w:rFonts w:hint="eastAsia" w:ascii="黑体" w:hAnsi="黑体" w:eastAsia="黑体" w:cs="黑体"/>
          <w:b w:val="0"/>
          <w:bCs/>
          <w:w w:val="90"/>
          <w:sz w:val="52"/>
          <w:szCs w:val="52"/>
        </w:rPr>
        <w:t>XX</w:t>
      </w:r>
      <w:r>
        <w:rPr>
          <w:rFonts w:hint="eastAsia" w:ascii="方正小标宋简体" w:hAnsi="方正小标宋简体" w:eastAsia="方正小标宋简体" w:cs="方正小标宋简体"/>
          <w:b w:val="0"/>
          <w:bCs/>
          <w:w w:val="90"/>
          <w:sz w:val="52"/>
          <w:szCs w:val="52"/>
        </w:rPr>
        <w:t>历史遗留矿山市场化</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w w:val="90"/>
          <w:sz w:val="52"/>
          <w:szCs w:val="52"/>
        </w:rPr>
        <w:t>生态修复项目土石料利用方案</w:t>
      </w:r>
    </w:p>
    <w:p>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楷体_GBK" w:hAnsi="方正楷体_GBK" w:eastAsia="方正楷体_GBK" w:cs="方正楷体_GBK"/>
          <w:b w:val="0"/>
          <w:bCs/>
          <w:spacing w:val="17"/>
          <w:sz w:val="44"/>
          <w:szCs w:val="44"/>
        </w:rPr>
      </w:pPr>
      <w:r>
        <w:rPr>
          <w:rFonts w:hint="eastAsia" w:ascii="方正楷体_GBK" w:hAnsi="方正楷体_GBK" w:eastAsia="方正楷体_GBK" w:cs="方正楷体_GBK"/>
          <w:b w:val="0"/>
          <w:bCs/>
          <w:spacing w:val="17"/>
          <w:sz w:val="44"/>
          <w:szCs w:val="44"/>
          <w:lang w:eastAsia="zh-CN"/>
        </w:rPr>
        <w:t>（</w:t>
      </w:r>
      <w:r>
        <w:rPr>
          <w:rFonts w:hint="eastAsia" w:ascii="方正楷体_GBK" w:hAnsi="方正楷体_GBK" w:eastAsia="方正楷体_GBK" w:cs="方正楷体_GBK"/>
          <w:b w:val="0"/>
          <w:bCs/>
          <w:spacing w:val="17"/>
          <w:sz w:val="44"/>
          <w:szCs w:val="44"/>
        </w:rPr>
        <w:t>参考提纲</w:t>
      </w:r>
      <w:r>
        <w:rPr>
          <w:rFonts w:hint="eastAsia" w:ascii="方正楷体_GBK" w:hAnsi="方正楷体_GBK" w:eastAsia="方正楷体_GBK" w:cs="方正楷体_GBK"/>
          <w:b w:val="0"/>
          <w:bCs/>
          <w:spacing w:val="17"/>
          <w:sz w:val="44"/>
          <w:szCs w:val="44"/>
          <w:lang w:eastAsia="zh-CN"/>
        </w:rPr>
        <w:t>）</w:t>
      </w:r>
    </w:p>
    <w:p>
      <w:pPr>
        <w:keepNext w:val="0"/>
        <w:keepLines w:val="0"/>
        <w:pageBreakBefore w:val="0"/>
        <w:kinsoku/>
        <w:wordWrap/>
        <w:overflowPunct/>
        <w:topLinePunct w:val="0"/>
        <w:bidi w:val="0"/>
        <w:snapToGrid/>
        <w:spacing w:line="580" w:lineRule="exact"/>
        <w:ind w:firstLine="640" w:firstLineChars="200"/>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ind w:firstLine="640" w:firstLineChars="200"/>
        <w:jc w:val="center"/>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ind w:firstLine="720" w:firstLineChars="200"/>
        <w:jc w:val="center"/>
        <w:textAlignment w:val="auto"/>
        <w:rPr>
          <w:rFonts w:hint="eastAsia" w:ascii="楷体" w:hAnsi="楷体" w:eastAsia="楷体" w:cs="楷体"/>
          <w:b w:val="0"/>
          <w:bCs/>
          <w:sz w:val="36"/>
          <w:szCs w:val="36"/>
        </w:rPr>
      </w:pPr>
      <w:r>
        <w:rPr>
          <w:rFonts w:hint="eastAsia" w:ascii="楷体" w:hAnsi="楷体" w:eastAsia="楷体" w:cs="楷体"/>
          <w:b w:val="0"/>
          <w:bCs/>
          <w:sz w:val="36"/>
          <w:szCs w:val="36"/>
        </w:rPr>
        <w:t>XX旗（县、</w:t>
      </w:r>
      <w:r>
        <w:rPr>
          <w:rFonts w:hint="eastAsia" w:ascii="楷体" w:hAnsi="楷体" w:eastAsia="楷体" w:cs="楷体"/>
          <w:b w:val="0"/>
          <w:bCs/>
          <w:sz w:val="36"/>
          <w:szCs w:val="36"/>
          <w:lang w:eastAsia="zh-CN"/>
        </w:rPr>
        <w:t>市、</w:t>
      </w:r>
      <w:r>
        <w:rPr>
          <w:rFonts w:hint="eastAsia" w:ascii="楷体" w:hAnsi="楷体" w:eastAsia="楷体" w:cs="楷体"/>
          <w:b w:val="0"/>
          <w:bCs/>
          <w:sz w:val="36"/>
          <w:szCs w:val="36"/>
        </w:rPr>
        <w:t>区）人民政府</w:t>
      </w:r>
    </w:p>
    <w:p>
      <w:pPr>
        <w:keepNext w:val="0"/>
        <w:keepLines w:val="0"/>
        <w:pageBreakBefore w:val="0"/>
        <w:kinsoku/>
        <w:wordWrap/>
        <w:overflowPunct/>
        <w:topLinePunct w:val="0"/>
        <w:bidi w:val="0"/>
        <w:snapToGrid/>
        <w:spacing w:line="580" w:lineRule="exact"/>
        <w:ind w:firstLine="720" w:firstLineChars="200"/>
        <w:jc w:val="center"/>
        <w:textAlignment w:val="auto"/>
        <w:rPr>
          <w:rFonts w:hint="eastAsia" w:ascii="楷体" w:hAnsi="楷体" w:eastAsia="楷体" w:cs="楷体"/>
          <w:b w:val="0"/>
          <w:bCs/>
          <w:sz w:val="36"/>
          <w:szCs w:val="36"/>
        </w:rPr>
      </w:pPr>
      <w:r>
        <w:rPr>
          <w:rFonts w:hint="eastAsia" w:ascii="楷体" w:hAnsi="楷体" w:eastAsia="楷体" w:cs="楷体"/>
          <w:b w:val="0"/>
          <w:bCs/>
          <w:sz w:val="36"/>
          <w:szCs w:val="36"/>
        </w:rPr>
        <w:t>XXXX年XX月</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b w:val="0"/>
          <w:bCs/>
          <w:kern w:val="0"/>
          <w:sz w:val="32"/>
          <w:szCs w:val="32"/>
        </w:rPr>
        <w:br w:type="page"/>
      </w:r>
      <w:r>
        <w:rPr>
          <w:rFonts w:hint="eastAsia" w:ascii="方正黑体_GBK" w:hAnsi="方正黑体_GBK" w:eastAsia="方正黑体_GBK" w:cs="方正黑体_GBK"/>
          <w:b w:val="0"/>
          <w:bCs/>
          <w:sz w:val="32"/>
          <w:szCs w:val="32"/>
        </w:rPr>
        <w:t>第一章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言</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项目简介</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简述历史遗留矿山市场化生态修复项目概况。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第二节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目的任务</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简述方案编制的目的和重点工作任务。</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编制原则</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说明方案编制的基本原则。</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第四节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编制依据</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说明方案编制的相关政策文件、有关规划、法律法规、规范标准等编制依据。</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第二章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项目区基本情况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位置交通</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简述项目区位置、范围（附交通位置图）。</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自然地理</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简述项目区气象水文、地形地貌、土壤植被、土地利用现状等情况。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地质环境条件</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简述项目区地层岩性、地质构造、水文地质条件、工程地质条件、环境地质条件等情况。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第四节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社会经济和人类工程活动</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简述项目区所属行政区经济社会和项目区及其周边人类工程活动概况。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第三章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土石料利用方案</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原地遗留土石料情况</w:t>
      </w:r>
    </w:p>
    <w:p>
      <w:pPr>
        <w:keepNext w:val="0"/>
        <w:keepLines w:val="0"/>
        <w:pageBreakBefore w:val="0"/>
        <w:kinsoku/>
        <w:wordWrap/>
        <w:overflowPunct/>
        <w:topLinePunct w:val="0"/>
        <w:bidi w:val="0"/>
        <w:snapToGrid/>
        <w:spacing w:line="540" w:lineRule="exact"/>
        <w:ind w:firstLine="596" w:firstLineChars="200"/>
        <w:jc w:val="left"/>
        <w:textAlignment w:val="auto"/>
        <w:rPr>
          <w:rFonts w:hint="eastAsia" w:ascii="方正仿宋_GBK" w:hAnsi="方正仿宋_GBK" w:eastAsia="方正仿宋_GBK" w:cs="方正仿宋_GBK"/>
          <w:b w:val="0"/>
          <w:bCs/>
          <w:spacing w:val="-11"/>
          <w:sz w:val="32"/>
          <w:szCs w:val="32"/>
        </w:rPr>
      </w:pPr>
      <w:r>
        <w:rPr>
          <w:rFonts w:hint="eastAsia" w:ascii="方正仿宋_GBK" w:hAnsi="方正仿宋_GBK" w:eastAsia="方正仿宋_GBK" w:cs="方正仿宋_GBK"/>
          <w:b w:val="0"/>
          <w:bCs/>
          <w:spacing w:val="-11"/>
          <w:sz w:val="32"/>
          <w:szCs w:val="32"/>
        </w:rPr>
        <w:t>阐述项目区范围内原有土石料分布位置、特征、土石方量等情况。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土石料剥离或开采</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pacing w:val="-6"/>
          <w:sz w:val="32"/>
          <w:szCs w:val="32"/>
        </w:rPr>
      </w:pPr>
      <w:r>
        <w:rPr>
          <w:rFonts w:hint="eastAsia" w:ascii="方正仿宋_GBK" w:hAnsi="方正仿宋_GBK" w:eastAsia="方正仿宋_GBK" w:cs="方正仿宋_GBK"/>
          <w:b w:val="0"/>
          <w:bCs/>
          <w:sz w:val="32"/>
          <w:szCs w:val="32"/>
        </w:rPr>
        <w:t>根据生态修复方案中进行的生态修复方式及生态修复措施工程部署，说明工程实施中新产生土石料情况（明确剥离或开采的位置、范围、估算方法和估算参数），并据此估算废弃土石料剥离或开采方</w:t>
      </w:r>
      <w:r>
        <w:rPr>
          <w:rFonts w:hint="eastAsia" w:ascii="方正仿宋_GBK" w:hAnsi="方正仿宋_GBK" w:eastAsia="方正仿宋_GBK" w:cs="方正仿宋_GBK"/>
          <w:b w:val="0"/>
          <w:bCs/>
          <w:spacing w:val="-6"/>
          <w:sz w:val="32"/>
          <w:szCs w:val="32"/>
        </w:rPr>
        <w:t>量（存在工业指标差异时，需要分开估算、统计方量）。</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土石料利用必要性和可行性分析</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根据生态修复方案中进行的生态修复方式及生态修复措施工程部署，结合项目区地质环境条件等外部施工条件，论证土石料剥离或开采的必要性和相应工程措施的可行性。</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第四节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土石料平衡分析</w:t>
      </w:r>
    </w:p>
    <w:p>
      <w:pPr>
        <w:keepNext w:val="0"/>
        <w:keepLines w:val="0"/>
        <w:pageBreakBefore w:val="0"/>
        <w:kinsoku/>
        <w:wordWrap/>
        <w:overflowPunct/>
        <w:topLinePunct w:val="0"/>
        <w:bidi w:val="0"/>
        <w:snapToGrid/>
        <w:spacing w:line="540" w:lineRule="exact"/>
        <w:ind w:firstLine="596"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11"/>
          <w:sz w:val="32"/>
          <w:szCs w:val="32"/>
        </w:rPr>
        <w:t>对项目区在生态修复工程中土石料供应量（原地遗留土石料和新产生土石料）、土石料需求量和剩余可处置土石料量进行平衡分析。</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第五节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土石料利用方式</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说明本次生态修复项目需消耗的土石料方量及剩余可处置土石料方量。明确剩余可处置土石料的处置方式</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经盟市行业主管部门批准，由旗县</w:t>
      </w:r>
      <w:r>
        <w:rPr>
          <w:rFonts w:hint="eastAsia" w:ascii="方正仿宋_GBK" w:hAnsi="方正仿宋_GBK" w:eastAsia="方正仿宋_GBK" w:cs="方正仿宋_GBK"/>
          <w:b w:val="0"/>
          <w:bCs/>
          <w:sz w:val="32"/>
          <w:szCs w:val="32"/>
          <w:lang w:eastAsia="zh-CN"/>
        </w:rPr>
        <w:t>级人民</w:t>
      </w:r>
      <w:r>
        <w:rPr>
          <w:rFonts w:hint="eastAsia" w:ascii="方正仿宋_GBK" w:hAnsi="方正仿宋_GBK" w:eastAsia="方正仿宋_GBK" w:cs="方正仿宋_GBK"/>
          <w:b w:val="0"/>
          <w:bCs/>
          <w:sz w:val="32"/>
          <w:szCs w:val="32"/>
        </w:rPr>
        <w:t>政府组织纳入公共资源交易平台）。</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第四章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收益分配</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收益估算</w:t>
      </w:r>
    </w:p>
    <w:p>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估算剩余可处置土石料交易收益。</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收益分配</w:t>
      </w:r>
    </w:p>
    <w:p>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基于资金平衡分析，概述社会投资方收益分配机制。</w:t>
      </w:r>
    </w:p>
    <w:p>
      <w:pPr>
        <w:keepNext w:val="0"/>
        <w:keepLines w:val="0"/>
        <w:pageBreakBefore w:val="0"/>
        <w:widowControl/>
        <w:kinsoku/>
        <w:wordWrap/>
        <w:overflowPunct/>
        <w:topLinePunct w:val="0"/>
        <w:bidi w:val="0"/>
        <w:snapToGrid/>
        <w:spacing w:line="54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附件：1．项目区土石料平衡分析表</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2．项目区原地遗留土石料现状图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3．项目区土石料剥离或开采工程部署图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4．项目区土石料剥离或开采设计综合剖面图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5．项目区土石料量估算平面图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6．XX</w:t>
      </w:r>
      <w:r>
        <w:rPr>
          <w:rFonts w:hint="eastAsia" w:ascii="方正仿宋_GBK" w:hAnsi="方正仿宋_GBK" w:eastAsia="方正仿宋_GBK" w:cs="方正仿宋_GBK"/>
          <w:b w:val="0"/>
          <w:bCs/>
          <w:sz w:val="32"/>
          <w:szCs w:val="32"/>
          <w:lang w:eastAsia="zh-CN"/>
        </w:rPr>
        <w:t>旗（县、市、区）</w:t>
      </w:r>
      <w:r>
        <w:rPr>
          <w:rFonts w:hint="eastAsia" w:ascii="方正仿宋_GBK" w:hAnsi="方正仿宋_GBK" w:eastAsia="方正仿宋_GBK" w:cs="方正仿宋_GBK"/>
          <w:b w:val="0"/>
          <w:bCs/>
          <w:sz w:val="32"/>
          <w:szCs w:val="32"/>
        </w:rPr>
        <w:t>人民政府关于落实废弃土石</w:t>
      </w:r>
    </w:p>
    <w:p>
      <w:pPr>
        <w:keepNext w:val="0"/>
        <w:keepLines w:val="0"/>
        <w:pageBreakBefore w:val="0"/>
        <w:kinsoku/>
        <w:wordWrap/>
        <w:overflowPunct/>
        <w:topLinePunct w:val="0"/>
        <w:bidi w:val="0"/>
        <w:snapToGrid/>
        <w:spacing w:line="540" w:lineRule="exact"/>
        <w:ind w:left="0" w:leftChars="0" w:firstLine="2057" w:firstLineChars="643"/>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料综合利用监管责任的承诺函</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44D49"/>
    <w:rsid w:val="03A4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f0"/>
    <w:basedOn w:val="1"/>
    <w:qFormat/>
    <w:uiPriority w:val="0"/>
    <w:pPr>
      <w:widowControl/>
      <w:spacing w:before="100" w:beforeAutospacing="1" w:after="100" w:afterAutospacing="1"/>
      <w:jc w:val="left"/>
    </w:pPr>
    <w:rPr>
      <w:rFonts w:ascii="宋体" w:hAnsi="宋体" w:eastAsia="宋体" w:cs="宋体"/>
      <w:kern w:val="0"/>
      <w:sz w:val="24"/>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2023-02-10T09:11:00Z</dcterms:created>
  <dc:creator>zwfw</dc:creator>
  <cp:lastModifiedBy>zwfw</cp:lastModifiedBy>
  <dcterms:modified xsi:type="dcterms:W3CDTF">2023-02-10T09:12:18Z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