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旗（县、市、区）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生态修复项目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新增耕地占补平衡利用方案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pacing w:val="17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pacing w:val="17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pacing w:val="17"/>
          <w:sz w:val="32"/>
          <w:szCs w:val="32"/>
        </w:rPr>
        <w:t>参考提纲</w:t>
      </w:r>
      <w:r>
        <w:rPr>
          <w:rFonts w:hint="eastAsia" w:ascii="方正楷体_GBK" w:hAnsi="方正楷体_GBK" w:eastAsia="方正楷体_GBK" w:cs="方正楷体_GBK"/>
          <w:b w:val="0"/>
          <w:bCs/>
          <w:spacing w:val="17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第一章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前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阐述方案编制的依据，目的与任务，指导思想和基本原则。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第二章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区域自然概况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阐述历史遗留矿山生态修复用于耕地占补平衡项目区域的位置、范围、自然地理（特别是地貌类型、气候条件、土壤条件、水文地质条件等）经济概况。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第三章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项目区的土地利用情况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分析项目区建设前的土地利用情况。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第四章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耕地占补平衡利用必要性和可行性分析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结合生态修复方案中各项工程部署，根据复垦地区的有关地质环境条件、水源条件、土壤条件、重金属污染情况和生态红线情况，分析论证形成长期、稳定、有效耕地的可行性和必要性。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第五章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耕地占补平衡利用方案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主要涉及项目复垦地点、建设工期、工程建设情况、项目区周边耕地情况和质量情况，形成长期、稳定、有效耕地面积、产能及土地权属情况，分析土地耕种人员保障及项目验收后的后期管护和地力培肥情况。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第六章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 资金平衡分析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概述总体投资估算、引入市场化投入资金估算、预期产出收益、社会资本投资与回报挂钩原则等。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第七章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明确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旗县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级统筹组织实施、监督管理、技术支撑等保障措施。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57177"/>
    <w:rsid w:val="5D25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2023-02-10T09:12:00Z</dcterms:created>
  <dc:creator>zwfw</dc:creator>
  <cp:lastModifiedBy>zwfw</cp:lastModifiedBy>
  <dcterms:modified xsi:type="dcterms:W3CDTF">2023-02-10T09:13:54Z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