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bookmarkStart w:id="0" w:name="_GoBack"/>
      <w:bookmarkEnd w:id="0"/>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内蒙古自治区人民政府关于下达2023年</w:t>
      </w:r>
    </w:p>
    <w:p>
      <w:pPr>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自治区国民经济和社会发展计划的通知</w:t>
      </w:r>
    </w:p>
    <w:p>
      <w:pPr>
        <w:pStyle w:val="2"/>
        <w:rPr>
          <w:rFonts w:hint="eastAsia"/>
          <w:lang w:eastAsia="zh-CN"/>
        </w:rPr>
      </w:pPr>
      <w:r>
        <w:rPr>
          <w:rFonts w:hint="eastAsia" w:ascii="仿宋_GB2312" w:hAnsi="华文仿宋" w:eastAsia="仿宋_GB2312"/>
          <w:b w:val="0"/>
          <w:bCs w:val="0"/>
          <w:sz w:val="32"/>
          <w:lang w:eastAsia="zh-CN"/>
        </w:rPr>
        <w:t>内政发〔2023〕2号</w:t>
      </w:r>
    </w:p>
    <w:p>
      <w:pPr>
        <w:keepNext w:val="0"/>
        <w:keepLines w:val="0"/>
        <w:pageBreakBefore w:val="0"/>
        <w:widowControl w:val="0"/>
        <w:kinsoku/>
        <w:wordWrap/>
        <w:overflowPunct/>
        <w:topLinePunct/>
        <w:autoSpaceDE/>
        <w:autoSpaceDN/>
        <w:bidi w:val="0"/>
        <w:adjustRightInd w:val="0"/>
        <w:snapToGrid w:val="0"/>
        <w:spacing w:line="440" w:lineRule="exact"/>
        <w:jc w:val="both"/>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autoSpaceDE/>
        <w:autoSpaceDN/>
        <w:bidi w:val="0"/>
        <w:adjustRightInd w:val="0"/>
        <w:snapToGrid w:val="0"/>
        <w:spacing w:line="360" w:lineRule="exact"/>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val="0"/>
        <w:snapToGrid w:val="0"/>
        <w:spacing w:line="360"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w:t>
      </w: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rPr>
        <w:t>年内蒙古自治区国民经济和社会发展计划》已经自治区</w:t>
      </w:r>
      <w:r>
        <w:rPr>
          <w:rFonts w:hint="eastAsia" w:ascii="方正楷体_GBK" w:hAnsi="方正楷体_GBK" w:eastAsia="方正楷体_GBK" w:cs="方正楷体_GBK"/>
          <w:color w:val="auto"/>
          <w:sz w:val="32"/>
          <w:szCs w:val="32"/>
          <w:u w:val="none" w:color="auto"/>
        </w:rPr>
        <w:t>十</w:t>
      </w:r>
      <w:r>
        <w:rPr>
          <w:rFonts w:hint="eastAsia" w:ascii="方正楷体_GBK" w:hAnsi="方正楷体_GBK" w:eastAsia="方正楷体_GBK" w:cs="方正楷体_GBK"/>
          <w:color w:val="auto"/>
          <w:sz w:val="32"/>
          <w:szCs w:val="32"/>
          <w:u w:val="none" w:color="auto"/>
          <w:lang w:eastAsia="zh-CN"/>
        </w:rPr>
        <w:t>四</w:t>
      </w:r>
      <w:r>
        <w:rPr>
          <w:rFonts w:hint="eastAsia" w:ascii="方正楷体_GBK" w:hAnsi="方正楷体_GBK" w:eastAsia="方正楷体_GBK" w:cs="方正楷体_GBK"/>
          <w:color w:val="auto"/>
          <w:sz w:val="32"/>
          <w:szCs w:val="32"/>
          <w:u w:val="none" w:color="auto"/>
        </w:rPr>
        <w:t>届人大</w:t>
      </w:r>
      <w:r>
        <w:rPr>
          <w:rFonts w:hint="eastAsia" w:ascii="方正楷体_GBK" w:hAnsi="方正楷体_GBK" w:eastAsia="方正楷体_GBK" w:cs="方正楷体_GBK"/>
          <w:color w:val="auto"/>
          <w:sz w:val="32"/>
          <w:szCs w:val="32"/>
          <w:u w:val="none" w:color="auto"/>
          <w:lang w:eastAsia="zh-CN"/>
        </w:rPr>
        <w:t>一</w:t>
      </w:r>
      <w:r>
        <w:rPr>
          <w:rFonts w:hint="eastAsia" w:ascii="方正楷体_GBK" w:hAnsi="方正楷体_GBK" w:eastAsia="方正楷体_GBK" w:cs="方正楷体_GBK"/>
          <w:color w:val="auto"/>
          <w:sz w:val="32"/>
          <w:szCs w:val="32"/>
          <w:u w:val="none" w:color="auto"/>
        </w:rPr>
        <w:t>次会议审议通过</w:t>
      </w:r>
      <w:r>
        <w:rPr>
          <w:rFonts w:hint="eastAsia" w:ascii="方正楷体_GBK" w:hAnsi="方正楷体_GBK" w:eastAsia="方正楷体_GBK" w:cs="方正楷体_GBK"/>
          <w:sz w:val="32"/>
          <w:szCs w:val="32"/>
        </w:rPr>
        <w:t>，现予下达，请结合实际，认真贯彻实施。</w:t>
      </w: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0" w:firstLineChars="0"/>
        <w:jc w:val="both"/>
        <w:rPr>
          <w:rFonts w:hint="eastAsia" w:ascii="方正楷体_GBK" w:hAnsi="方正楷体_GBK" w:eastAsia="方正楷体_GBK" w:cs="方正楷体_GBK"/>
          <w:sz w:val="32"/>
          <w:szCs w:val="32"/>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0" w:firstLineChars="0"/>
        <w:jc w:val="both"/>
        <w:rPr>
          <w:rFonts w:hint="eastAsia" w:ascii="方正楷体_GBK" w:hAnsi="方正楷体_GBK" w:eastAsia="方正楷体_GBK" w:cs="方正楷体_GBK"/>
          <w:sz w:val="32"/>
          <w:szCs w:val="32"/>
        </w:rPr>
      </w:pPr>
    </w:p>
    <w:p>
      <w:pPr>
        <w:pStyle w:val="3"/>
        <w:keepNext w:val="0"/>
        <w:keepLines w:val="0"/>
        <w:pageBreakBefore w:val="0"/>
        <w:widowControl w:val="0"/>
        <w:tabs>
          <w:tab w:val="left" w:pos="7560"/>
        </w:tabs>
        <w:kinsoku/>
        <w:wordWrap/>
        <w:overflowPunct/>
        <w:topLinePunct/>
        <w:autoSpaceDE/>
        <w:autoSpaceDN/>
        <w:bidi w:val="0"/>
        <w:adjustRightInd w:val="0"/>
        <w:snapToGrid w:val="0"/>
        <w:spacing w:line="800" w:lineRule="exact"/>
        <w:ind w:left="0" w:leftChars="0" w:firstLine="0" w:firstLineChars="0"/>
        <w:jc w:val="both"/>
        <w:textAlignment w:val="auto"/>
        <w:rPr>
          <w:rFonts w:hint="eastAsia" w:ascii="方正楷体_GBK" w:hAnsi="方正楷体_GBK" w:eastAsia="方正楷体_GBK" w:cs="方正楷体_GBK"/>
          <w:sz w:val="32"/>
          <w:szCs w:val="32"/>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0" w:firstLineChars="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2023年1月20日</w:t>
      </w: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pStyle w:val="3"/>
        <w:keepNext w:val="0"/>
        <w:keepLines w:val="0"/>
        <w:pageBreakBefore w:val="0"/>
        <w:widowControl w:val="0"/>
        <w:kinsoku/>
        <w:wordWrap/>
        <w:overflowPunct/>
        <w:topLinePunct/>
        <w:autoSpaceDE/>
        <w:autoSpaceDN/>
        <w:bidi w:val="0"/>
        <w:adjustRightInd w:val="0"/>
        <w:snapToGrid w:val="0"/>
        <w:spacing w:line="580" w:lineRule="exact"/>
        <w:ind w:left="0" w:leftChars="0" w:firstLine="640" w:firstLineChars="200"/>
        <w:jc w:val="both"/>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方正小标宋简体" w:eastAsia="方正小标宋简体" w:cs="方正小标宋简体"/>
          <w:color w:val="auto"/>
          <w:sz w:val="44"/>
          <w:szCs w:val="44"/>
          <w:u w:val="none" w:color="auto"/>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pacing w:val="20"/>
          <w:sz w:val="44"/>
          <w:szCs w:val="44"/>
          <w:u w:val="none" w:color="auto"/>
        </w:rPr>
      </w:pPr>
      <w:r>
        <w:rPr>
          <w:rFonts w:hint="eastAsia" w:ascii="方正小标宋简体" w:hAnsi="方正小标宋简体" w:eastAsia="方正小标宋简体" w:cs="方正小标宋简体"/>
          <w:color w:val="auto"/>
          <w:spacing w:val="20"/>
          <w:sz w:val="44"/>
          <w:szCs w:val="44"/>
          <w:u w:val="none" w:color="auto"/>
        </w:rPr>
        <w:t>20</w:t>
      </w:r>
      <w:r>
        <w:rPr>
          <w:rFonts w:hint="eastAsia" w:ascii="方正小标宋简体" w:hAnsi="方正小标宋简体" w:eastAsia="方正小标宋简体" w:cs="方正小标宋简体"/>
          <w:color w:val="auto"/>
          <w:spacing w:val="20"/>
          <w:sz w:val="44"/>
          <w:szCs w:val="44"/>
          <w:u w:val="none" w:color="auto"/>
          <w:lang w:eastAsia="zh-CN"/>
        </w:rPr>
        <w:t>2</w:t>
      </w:r>
      <w:r>
        <w:rPr>
          <w:rFonts w:hint="eastAsia" w:ascii="方正小标宋简体" w:hAnsi="方正小标宋简体" w:eastAsia="方正小标宋简体" w:cs="方正小标宋简体"/>
          <w:color w:val="auto"/>
          <w:spacing w:val="20"/>
          <w:sz w:val="44"/>
          <w:szCs w:val="44"/>
          <w:u w:val="none" w:color="auto"/>
          <w:lang w:val="en-US" w:eastAsia="zh-CN"/>
        </w:rPr>
        <w:t>3</w:t>
      </w:r>
      <w:r>
        <w:rPr>
          <w:rFonts w:hint="eastAsia" w:ascii="方正小标宋简体" w:hAnsi="方正小标宋简体" w:eastAsia="方正小标宋简体" w:cs="方正小标宋简体"/>
          <w:color w:val="auto"/>
          <w:spacing w:val="20"/>
          <w:sz w:val="44"/>
          <w:szCs w:val="44"/>
          <w:u w:val="none" w:color="auto"/>
        </w:rPr>
        <w:t>年内蒙古自治区</w:t>
      </w: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color w:val="auto"/>
          <w:spacing w:val="20"/>
          <w:sz w:val="44"/>
          <w:szCs w:val="44"/>
          <w:u w:val="none" w:color="auto"/>
        </w:rPr>
      </w:pPr>
      <w:r>
        <w:rPr>
          <w:rFonts w:hint="eastAsia" w:ascii="方正小标宋简体" w:hAnsi="方正小标宋简体" w:eastAsia="方正小标宋简体" w:cs="方正小标宋简体"/>
          <w:color w:val="auto"/>
          <w:spacing w:val="20"/>
          <w:sz w:val="44"/>
          <w:szCs w:val="44"/>
          <w:u w:val="none" w:color="auto"/>
        </w:rPr>
        <w:t>国民经济和社会发展计划</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u w:val="none" w:color="auto"/>
          <w:lang w:val="en-US" w:eastAsia="zh-CN"/>
        </w:rPr>
      </w:pPr>
    </w:p>
    <w:p>
      <w:pPr>
        <w:pStyle w:val="1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仿宋_GBK" w:hAnsi="方正仿宋_GBK" w:eastAsia="方正仿宋_GBK" w:cs="方正仿宋_GBK"/>
          <w:b w:val="0"/>
          <w:bCs w:val="0"/>
          <w:color w:val="auto"/>
          <w:kern w:val="2"/>
          <w:sz w:val="32"/>
          <w:szCs w:val="32"/>
          <w:u w:val="none" w:color="auto"/>
          <w:lang w:val="en-US" w:eastAsia="zh-CN" w:bidi="ar-SA"/>
        </w:rPr>
        <w:t>2023年是全面贯彻落实党的二十大精神的开局之年，做好经济工作，意义十分重大。做好2023年经济社会发展工作，要深刻领悟“两个确立”的决定性意义，更加坚定自觉地做到“两个维护”，更加紧密地团结在以习近平同志为核心的党中央周围，坚持以习近平新时代中国特色社会主义思想为指导，全面贯彻落实党的二十大精神，坚持稳中求进工作总基调，完整、准确、全面贯彻新发展理念，积极服务和融入新发展格局，着力推动高质量发展，大力发扬蒙古马精神，努力完成习近平总书记交给内蒙古的“五大任务”，全方位建设“模范自治区”，把祖国北部边疆这道风景线打造得更加亮丽，为全面建设社会主义现代化国家、全面推进中华民族伟大复兴作出内蒙古贡献。</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Fonts w:hint="eastAsia" w:ascii="方正仿宋_GBK" w:hAnsi="方正仿宋_GBK" w:eastAsia="方正仿宋_GBK" w:cs="方正仿宋_GBK"/>
          <w:color w:val="auto"/>
          <w:sz w:val="32"/>
          <w:szCs w:val="32"/>
          <w:u w:val="none" w:color="auto"/>
          <w:lang w:val="en-US" w:eastAsia="zh-CN"/>
        </w:rPr>
        <w:t>2023年经济社会发展的主要预期目标是：</w:t>
      </w:r>
      <w:r>
        <w:rPr>
          <w:rFonts w:hint="eastAsia" w:ascii="方正仿宋_GBK" w:hAnsi="方正仿宋_GBK" w:eastAsia="方正仿宋_GBK" w:cs="方正仿宋_GBK"/>
          <w:b w:val="0"/>
          <w:bCs w:val="0"/>
          <w:color w:val="auto"/>
          <w:kern w:val="2"/>
          <w:sz w:val="32"/>
          <w:szCs w:val="32"/>
          <w:u w:val="none" w:color="auto"/>
          <w:lang w:val="en-US" w:eastAsia="zh-CN" w:bidi="ar-SA"/>
        </w:rPr>
        <w:t>地区生产总值增长6%左右，在实际工作中争取更好成绩；规上工业增加值增长7%以上；固定资产投资增长10%以上；城镇调查失业率6%左右，城镇新增就业20万人以上；居民消费价格涨幅3%左右；居民收入增长与经济增长基本同步；能耗强度和减排指标按照国家要求安排。</w:t>
      </w:r>
      <w:r>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t>要按照党中央、国务院决策部署，深入落实党的二十大、中央经济工作会议和自治区第十一届五次全会暨全区经济工作会议精神，突出重点、把握关键，聚焦落实好习近平总书记交给内蒙古的“五大任务”，进一步端正发展观念，着力优化经济布局、切实做大经济总量、大力提高发展质量。</w:t>
      </w:r>
    </w:p>
    <w:p>
      <w:pPr>
        <w:pStyle w:val="15"/>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80" w:lineRule="exact"/>
        <w:ind w:left="0" w:leftChars="0" w:firstLine="640" w:firstLineChars="200"/>
        <w:jc w:val="both"/>
        <w:textAlignment w:val="auto"/>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深入实施扩大内需战略，加快服务和融入新发展格局</w:t>
      </w:r>
    </w:p>
    <w:p>
      <w:pPr>
        <w:pStyle w:val="15"/>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Fonts w:hint="eastAsia" w:ascii="方正仿宋_GBK" w:hAnsi="方正仿宋_GBK" w:eastAsia="方正仿宋_GBK" w:cs="方正仿宋_GBK"/>
          <w:b w:val="0"/>
          <w:bCs w:val="0"/>
          <w:color w:val="auto"/>
          <w:kern w:val="2"/>
          <w:sz w:val="32"/>
          <w:szCs w:val="32"/>
          <w:u w:val="none" w:color="auto"/>
          <w:lang w:val="en-US" w:eastAsia="zh-CN" w:bidi="ar-SA"/>
        </w:rPr>
        <w:t>把实施扩大内需战略同深化供给侧结构性改革有机结合起来，加快服务和融入国内大循环为主体、国内国际双循环相互促进的新发展格局，动态调整并推动落实争取国家支持事项清单。</w:t>
      </w:r>
    </w:p>
    <w:p>
      <w:pPr>
        <w:pStyle w:val="15"/>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left="0" w:leftChars="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Fonts w:hint="eastAsia" w:ascii="方正楷体_GBK" w:hAnsi="方正楷体_GBK" w:eastAsia="方正楷体_GBK" w:cs="方正楷体_GBK"/>
          <w:b w:val="0"/>
          <w:bCs w:val="0"/>
          <w:color w:val="auto"/>
          <w:kern w:val="2"/>
          <w:sz w:val="32"/>
          <w:szCs w:val="32"/>
          <w:u w:val="none" w:color="auto"/>
          <w:lang w:val="en-US" w:eastAsia="zh-CN" w:bidi="ar-SA"/>
        </w:rPr>
        <w:t>（一）推动需求恢复促消费。</w:t>
      </w:r>
      <w:r>
        <w:rPr>
          <w:rFonts w:hint="eastAsia" w:ascii="方正仿宋_GBK" w:hAnsi="方正仿宋_GBK" w:eastAsia="方正仿宋_GBK" w:cs="方正仿宋_GBK"/>
          <w:b w:val="0"/>
          <w:bCs w:val="0"/>
          <w:color w:val="auto"/>
          <w:kern w:val="2"/>
          <w:sz w:val="32"/>
          <w:szCs w:val="32"/>
          <w:u w:val="none" w:color="auto"/>
          <w:lang w:val="en-US" w:eastAsia="zh-CN" w:bidi="ar-SA"/>
        </w:rPr>
        <w:t>把恢复和扩大消费摆在优先位置，</w:t>
      </w:r>
      <w:r>
        <w:rPr>
          <w:rFonts w:hint="eastAsia" w:ascii="方正仿宋_GBK" w:hAnsi="方正仿宋_GBK" w:eastAsia="方正仿宋_GBK" w:cs="方正仿宋_GBK"/>
          <w:b w:val="0"/>
          <w:bCs w:val="0"/>
          <w:color w:val="auto"/>
          <w:kern w:val="2"/>
          <w:sz w:val="32"/>
          <w:szCs w:val="32"/>
          <w:u w:val="none" w:color="auto"/>
          <w:lang w:val="en" w:eastAsia="zh-CN" w:bidi="ar-SA"/>
        </w:rPr>
        <w:t>推动消费恢复成为经济主拉动力，促进餐饮、零售、旅游、交通等行业加快恢复，支持住房改善、新能源汽车、养老服务等消费。抓住传统节日及网络热销时段，开展消费促进月、金秋消费季、迎新购物节等各类消费促进活动。积极打造消费新场景，鼓励绿色智能家电、线上线下融合消费等新型消费，</w:t>
      </w:r>
      <w:r>
        <w:rPr>
          <w:rFonts w:hint="eastAsia" w:ascii="方正仿宋_GBK" w:hAnsi="方正仿宋_GBK" w:eastAsia="方正仿宋_GBK" w:cs="方正仿宋_GBK"/>
          <w:b w:val="0"/>
          <w:bCs w:val="0"/>
          <w:color w:val="auto"/>
          <w:kern w:val="2"/>
          <w:sz w:val="32"/>
          <w:szCs w:val="32"/>
          <w:u w:val="none" w:color="auto"/>
          <w:lang w:val="en-US" w:eastAsia="zh-CN" w:bidi="ar-SA"/>
        </w:rPr>
        <w:t>进一步释放文旅消费、绿色消费、网络消费、数字消费潜力，力争网络零售额突破600亿元。</w:t>
      </w:r>
      <w:r>
        <w:rPr>
          <w:rFonts w:hint="eastAsia" w:ascii="方正仿宋_GBK" w:hAnsi="方正仿宋_GBK" w:eastAsia="方正仿宋_GBK" w:cs="方正仿宋_GBK"/>
          <w:b w:val="0"/>
          <w:bCs w:val="0"/>
          <w:color w:val="auto"/>
          <w:kern w:val="2"/>
          <w:sz w:val="32"/>
          <w:szCs w:val="32"/>
          <w:u w:val="none" w:color="auto"/>
          <w:lang w:val="en" w:eastAsia="zh-CN" w:bidi="ar-SA"/>
        </w:rPr>
        <w:t>加大首店招引力度，积极吸引国内外零售餐饮、文体娱乐、生活服务等领域知名品牌在自治区开设首店。进一步提升城乡消费水平，开展县域商业建设行动，支持第二批自治区级城市一刻钟便民生活圈和第三批自治区级步行街改造提升试点建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（二）优化供给结构扩投资。</w:t>
      </w:r>
      <w:r>
        <w:rPr>
          <w:rFonts w:hint="eastAsia" w:ascii="方正仿宋_GBK" w:hAnsi="方正仿宋_GBK" w:eastAsia="方正仿宋_GBK" w:cs="方正仿宋_GBK"/>
          <w:b w:val="0"/>
          <w:bCs w:val="0"/>
          <w:color w:val="auto"/>
          <w:kern w:val="2"/>
          <w:sz w:val="32"/>
          <w:szCs w:val="32"/>
          <w:u w:val="none" w:color="auto"/>
          <w:lang w:val="en-US" w:eastAsia="zh-CN" w:bidi="ar-SA"/>
        </w:rPr>
        <w:t>发挥好投资对</w:t>
      </w:r>
      <w:r>
        <w:rPr>
          <w:rFonts w:hint="eastAsia" w:ascii="方正仿宋_GBK" w:hAnsi="方正仿宋_GBK" w:eastAsia="方正仿宋_GBK" w:cs="方正仿宋_GBK"/>
          <w:b w:val="0"/>
          <w:bCs w:val="0"/>
          <w:color w:val="auto"/>
          <w:kern w:val="2"/>
          <w:sz w:val="32"/>
          <w:szCs w:val="32"/>
          <w:u w:val="none" w:color="auto"/>
          <w:lang w:val="en" w:eastAsia="zh-CN" w:bidi="ar-SA"/>
        </w:rPr>
        <w:t>优化供给结构的关键作用，做好重大项目“抓招商、抓储备、抓前期、抓开工、抓进度、抓投产、抓入统”工作，全力形成“储备一批、开工一批、建设一批、竣工一批”滚动接续格局，</w:t>
      </w:r>
      <w:r>
        <w:rPr>
          <w:rFonts w:hint="eastAsia" w:ascii="方正仿宋_GBK" w:hAnsi="方正仿宋_GBK" w:eastAsia="方正仿宋_GBK" w:cs="方正仿宋_GBK"/>
          <w:b w:val="0"/>
          <w:bCs w:val="0"/>
          <w:color w:val="auto"/>
          <w:kern w:val="2"/>
          <w:sz w:val="32"/>
          <w:szCs w:val="32"/>
          <w:u w:val="none" w:color="auto"/>
          <w:lang w:val="en-US" w:eastAsia="zh-CN" w:bidi="ar-SA"/>
        </w:rPr>
        <w:t>加快实施“十四五”重大工程</w:t>
      </w:r>
      <w:r>
        <w:rPr>
          <w:rFonts w:hint="eastAsia" w:ascii="方正仿宋_GBK" w:hAnsi="方正仿宋_GBK" w:eastAsia="方正仿宋_GBK" w:cs="方正仿宋_GBK"/>
          <w:b w:val="0"/>
          <w:bCs w:val="0"/>
          <w:color w:val="auto"/>
          <w:kern w:val="2"/>
          <w:sz w:val="32"/>
          <w:szCs w:val="32"/>
          <w:u w:val="none" w:color="auto"/>
          <w:lang w:val="en" w:eastAsia="zh-CN" w:bidi="ar-SA"/>
        </w:rPr>
        <w:t>，</w:t>
      </w:r>
      <w:r>
        <w:rPr>
          <w:rFonts w:hint="eastAsia" w:ascii="方正仿宋_GBK" w:hAnsi="方正仿宋_GBK" w:eastAsia="方正仿宋_GBK" w:cs="方正仿宋_GBK"/>
          <w:b w:val="0"/>
          <w:bCs w:val="0"/>
          <w:color w:val="auto"/>
          <w:kern w:val="2"/>
          <w:sz w:val="32"/>
          <w:szCs w:val="32"/>
          <w:u w:val="none" w:color="auto"/>
          <w:lang w:val="en-US" w:eastAsia="zh-CN" w:bidi="ar-SA"/>
        </w:rPr>
        <w:t>围绕经济发展和民生急需推动重大项目建设，力争全年固定资产投资增长10%以上。落实“资金和要素跟着项目走”要求，加强土地、林地、能耗、资金、营商环境等各类要素保障</w:t>
      </w:r>
      <w:r>
        <w:rPr>
          <w:rFonts w:hint="eastAsia" w:ascii="方正仿宋_GBK" w:hAnsi="方正仿宋_GBK" w:eastAsia="方正仿宋_GBK" w:cs="方正仿宋_GBK"/>
          <w:b w:val="0"/>
          <w:bCs w:val="0"/>
          <w:color w:val="auto"/>
          <w:kern w:val="2"/>
          <w:sz w:val="32"/>
          <w:szCs w:val="32"/>
          <w:u w:val="none" w:color="auto"/>
          <w:lang w:val="en" w:eastAsia="zh-CN" w:bidi="ar-SA"/>
        </w:rPr>
        <w:t>。不断优化投资服务，</w:t>
      </w:r>
      <w:r>
        <w:rPr>
          <w:rFonts w:hint="eastAsia" w:ascii="方正仿宋_GBK" w:hAnsi="方正仿宋_GBK" w:eastAsia="方正仿宋_GBK" w:cs="方正仿宋_GBK"/>
          <w:b w:val="0"/>
          <w:bCs w:val="0"/>
          <w:color w:val="auto"/>
          <w:kern w:val="2"/>
          <w:sz w:val="32"/>
          <w:szCs w:val="32"/>
          <w:u w:val="none" w:color="auto"/>
          <w:lang w:val="en-US" w:eastAsia="zh-CN" w:bidi="ar-SA"/>
        </w:rPr>
        <w:t>持续发挥好重大项目三级领导包联、厅际联席会议、前期手续三级部门包联等机制作用，解决好项目前期手续办理中存在的问题。紧紧围绕基础设施、国家“十四五”规划重大工程、中央预算内投资和地方政府专项债、产业集群和重点产业链等领域，坚持补短板、强弱项和锻长板、增后劲相结合，聚焦经济社会发展的重点领域和薄弱环节精准谋划储备项目。促进民间投资增长，鼓励和吸引更多民间资本参与重大工程和补短板项目建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（三）畅通循环渠道保流通。</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加快建设高效顺畅的流通体系</w:t>
      </w:r>
      <w:r>
        <w:rPr>
          <w:rFonts w:hint="eastAsia" w:ascii="方正仿宋_GBK" w:hAnsi="方正仿宋_GBK" w:eastAsia="方正仿宋_GBK" w:cs="方正仿宋_GBK"/>
          <w:b w:val="0"/>
          <w:bCs w:val="0"/>
          <w:color w:val="auto"/>
          <w:kern w:val="2"/>
          <w:sz w:val="32"/>
          <w:szCs w:val="32"/>
          <w:u w:val="none" w:color="auto"/>
          <w:lang w:val="en" w:eastAsia="zh-CN" w:bidi="ar-SA"/>
        </w:rPr>
        <w:t>。</w:t>
      </w:r>
      <w:r>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t>现代综合交通体系建设方面，</w:t>
      </w:r>
      <w:r>
        <w:rPr>
          <w:rFonts w:hint="eastAsia" w:ascii="方正仿宋_GBK" w:hAnsi="方正仿宋_GBK" w:eastAsia="方正仿宋_GBK" w:cs="方正仿宋_GBK"/>
          <w:b w:val="0"/>
          <w:bCs w:val="0"/>
          <w:color w:val="auto"/>
          <w:kern w:val="2"/>
          <w:sz w:val="32"/>
          <w:szCs w:val="32"/>
          <w:u w:val="none" w:color="auto"/>
          <w:lang w:val="en" w:eastAsia="zh-CN" w:bidi="ar-SA"/>
        </w:rPr>
        <w:t>推进建设贯通自治区东中西部高铁大通道，推动解决“断头路”问题，进一步提升交通网络通达性。</w:t>
      </w:r>
      <w:r>
        <w:rPr>
          <w:rFonts w:hint="eastAsia" w:ascii="方正仿宋_GBK" w:hAnsi="方正仿宋_GBK" w:eastAsia="方正仿宋_GBK" w:cs="方正仿宋_GBK"/>
          <w:b w:val="0"/>
          <w:bCs w:val="0"/>
          <w:color w:val="auto"/>
          <w:kern w:val="2"/>
          <w:sz w:val="32"/>
          <w:szCs w:val="32"/>
          <w:u w:val="none" w:color="auto"/>
          <w:lang w:val="en-US" w:eastAsia="zh-CN" w:bidi="ar-SA"/>
        </w:rPr>
        <w:t>加快包银高铁（含巴银支线）、集大原高铁、锡林浩特至太子城快速铁路、呼和浩特机场高速公路、G5511安业至公主梗段高速公路、呼和浩特新机场等项目建设进度，推动白阿线开行动车改造、G5511查白音他拉至草高吐高速公路、锡林浩特机场改扩建一期工程等项目全面开工，争取开工鄂尔多斯至榆林至延安高铁，推进集宁至通辽至长春高铁、齐齐哈尔至乌兰浩特至通辽高铁、阿拉善左旗通勤机场升级支线机场等项目前期工作，力争开工建设公路里程1万公里，其中，农村牧区公路5000公里；铁路建设规模达到1700公里，其中，高铁470公里；新建成通用机场8个。</w:t>
      </w:r>
      <w:r>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t>现代物流体系建设方面，</w:t>
      </w:r>
      <w:r>
        <w:rPr>
          <w:rFonts w:hint="eastAsia" w:ascii="方正仿宋_GBK" w:hAnsi="方正仿宋_GBK" w:eastAsia="方正仿宋_GBK" w:cs="方正仿宋_GBK"/>
          <w:b w:val="0"/>
          <w:bCs w:val="0"/>
          <w:color w:val="auto"/>
          <w:kern w:val="2"/>
          <w:sz w:val="32"/>
          <w:szCs w:val="32"/>
          <w:u w:val="none" w:color="auto"/>
          <w:lang w:val="en" w:eastAsia="zh-CN" w:bidi="ar-SA"/>
        </w:rPr>
        <w:t>重点加强国家级物流枢纽、骨干冷链物流基地及自治区级物流枢纽、示范物流园区建设，争取通辽纳入国家骨干冷链物流基地建设名单，推动形成物流网络体系。补齐多式联运、冷链物流能力短板，推进多式联运示范工程建设和特色冷链物流试点建设。扩大高速公路差异化收费试点范围，进一步促进货运物流降本增效。加快农村牧区“客货邮”融合发展，优化农村牧区物流基础设施网络，提高“快递进村”质效，加快贯通县乡村三级寄递物流体系，</w:t>
      </w:r>
      <w:r>
        <w:rPr>
          <w:rFonts w:hint="eastAsia" w:ascii="方正仿宋_GBK" w:hAnsi="方正仿宋_GBK" w:eastAsia="方正仿宋_GBK" w:cs="方正仿宋_GBK"/>
          <w:b w:val="0"/>
          <w:bCs w:val="0"/>
          <w:color w:val="auto"/>
          <w:kern w:val="2"/>
          <w:sz w:val="32"/>
          <w:szCs w:val="32"/>
          <w:u w:val="none" w:color="auto"/>
          <w:lang w:val="en-US" w:eastAsia="zh-CN" w:bidi="ar-SA"/>
        </w:rPr>
        <w:t>新增嘎查村寄递物流点3500个，基本实现农村牧区寄递物流综合服务全覆盖。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仿宋_GBK" w:hAnsi="方正仿宋_GBK" w:eastAsia="方正仿宋_GBK" w:cs="方正仿宋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二、加快</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建设现代化产业体系，巩固壮大实体经济根基</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64"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Fonts w:hint="eastAsia" w:ascii="方正仿宋_GBK" w:hAnsi="方正仿宋_GBK" w:eastAsia="方正仿宋_GBK" w:cs="方正仿宋_GBK"/>
          <w:b w:val="0"/>
          <w:bCs w:val="0"/>
          <w:color w:val="auto"/>
          <w:spacing w:val="6"/>
          <w:kern w:val="2"/>
          <w:sz w:val="32"/>
          <w:szCs w:val="32"/>
          <w:u w:val="none" w:color="auto"/>
          <w:lang w:val="en" w:eastAsia="zh-CN" w:bidi="ar-SA"/>
        </w:rPr>
        <w:t>把发展经济的着力点放在实体经济上，出台实施</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2023年</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推动产业高质量发展政策清单</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和“</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五大任务</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”年度重点工作方案，</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扎实推进“两个基地”建设，提升产业链供应链韧性和安全水平</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（一）推动农畜产品生产基地优质高效转型。</w:t>
      </w:r>
      <w:r>
        <w:rPr>
          <w:rFonts w:hint="eastAsia" w:ascii="方正仿宋_GBK" w:hAnsi="方正仿宋_GBK" w:eastAsia="方正仿宋_GBK" w:cs="方正仿宋_GBK"/>
          <w:b w:val="0"/>
          <w:bCs w:val="0"/>
          <w:color w:val="auto"/>
          <w:kern w:val="2"/>
          <w:sz w:val="32"/>
          <w:szCs w:val="32"/>
          <w:u w:val="none" w:color="auto"/>
          <w:lang w:val="en" w:eastAsia="zh-CN" w:bidi="ar-SA"/>
        </w:rPr>
        <w:t>继续实施优质高效增粮示范行动，</w:t>
      </w:r>
      <w:r>
        <w:rPr>
          <w:rFonts w:hint="eastAsia" w:ascii="方正仿宋_GBK" w:hAnsi="方正仿宋_GBK" w:eastAsia="方正仿宋_GBK" w:cs="方正仿宋_GBK"/>
          <w:b w:val="0"/>
          <w:bCs w:val="0"/>
          <w:color w:val="auto"/>
          <w:kern w:val="2"/>
          <w:sz w:val="32"/>
          <w:szCs w:val="32"/>
          <w:u w:val="none" w:color="auto"/>
          <w:lang w:val="en-US" w:eastAsia="zh-CN" w:bidi="ar-SA"/>
        </w:rPr>
        <w:t>粮食产量稳定在780亿斤左右</w:t>
      </w:r>
      <w:r>
        <w:rPr>
          <w:rFonts w:hint="eastAsia" w:ascii="方正仿宋_GBK" w:hAnsi="方正仿宋_GBK" w:eastAsia="方正仿宋_GBK" w:cs="方正仿宋_GBK"/>
          <w:b w:val="0"/>
          <w:bCs w:val="0"/>
          <w:color w:val="auto"/>
          <w:kern w:val="2"/>
          <w:sz w:val="32"/>
          <w:szCs w:val="32"/>
          <w:u w:val="none" w:color="auto"/>
          <w:lang w:val="en" w:eastAsia="zh-CN" w:bidi="ar-SA"/>
        </w:rPr>
        <w:t>。制定把永久基本农田全部建成高标准农田的总体规划方案，实施高标准农田建设</w:t>
      </w:r>
      <w:r>
        <w:rPr>
          <w:rFonts w:hint="eastAsia" w:ascii="方正仿宋_GBK" w:hAnsi="方正仿宋_GBK" w:eastAsia="方正仿宋_GBK" w:cs="方正仿宋_GBK"/>
          <w:b w:val="0"/>
          <w:bCs w:val="0"/>
          <w:color w:val="auto"/>
          <w:kern w:val="2"/>
          <w:sz w:val="32"/>
          <w:szCs w:val="32"/>
          <w:u w:val="none" w:color="auto"/>
          <w:lang w:val="en-US" w:eastAsia="zh-CN" w:bidi="ar-SA"/>
        </w:rPr>
        <w:t>395万亩，</w:t>
      </w:r>
      <w:r>
        <w:rPr>
          <w:rFonts w:hint="eastAsia" w:ascii="方正仿宋_GBK" w:hAnsi="方正仿宋_GBK" w:eastAsia="方正仿宋_GBK" w:cs="方正仿宋_GBK"/>
          <w:b w:val="0"/>
          <w:bCs w:val="0"/>
          <w:color w:val="auto"/>
          <w:kern w:val="2"/>
          <w:sz w:val="32"/>
          <w:szCs w:val="32"/>
          <w:u w:val="none" w:color="auto"/>
          <w:lang w:val="en" w:eastAsia="zh-CN" w:bidi="ar-SA"/>
        </w:rPr>
        <w:t>落实黑土地保护利用工程任务900万亩。</w:t>
      </w:r>
      <w:r>
        <w:rPr>
          <w:rFonts w:hint="eastAsia" w:ascii="方正仿宋_GBK" w:hAnsi="方正仿宋_GBK" w:eastAsia="方正仿宋_GBK" w:cs="方正仿宋_GBK"/>
          <w:b w:val="0"/>
          <w:bCs w:val="0"/>
          <w:color w:val="auto"/>
          <w:kern w:val="2"/>
          <w:sz w:val="32"/>
          <w:szCs w:val="32"/>
          <w:u w:val="none" w:color="auto"/>
          <w:lang w:val="en-US" w:eastAsia="zh-CN" w:bidi="ar-SA"/>
        </w:rPr>
        <w:t>深入推进“</w:t>
      </w:r>
      <w:r>
        <w:rPr>
          <w:rFonts w:hint="eastAsia" w:ascii="方正仿宋_GBK" w:hAnsi="方正仿宋_GBK" w:eastAsia="方正仿宋_GBK" w:cs="方正仿宋_GBK"/>
          <w:b w:val="0"/>
          <w:bCs w:val="0"/>
          <w:color w:val="auto"/>
          <w:kern w:val="2"/>
          <w:sz w:val="32"/>
          <w:szCs w:val="32"/>
          <w:u w:val="none" w:color="auto"/>
          <w:lang w:val="en" w:eastAsia="zh-CN" w:bidi="ar-SA"/>
        </w:rPr>
        <w:t>奶业振兴</w:t>
      </w:r>
      <w:r>
        <w:rPr>
          <w:rFonts w:hint="eastAsia" w:ascii="方正仿宋_GBK" w:hAnsi="方正仿宋_GBK" w:eastAsia="方正仿宋_GBK" w:cs="方正仿宋_GBK"/>
          <w:b w:val="0"/>
          <w:bCs w:val="0"/>
          <w:color w:val="auto"/>
          <w:kern w:val="2"/>
          <w:sz w:val="32"/>
          <w:szCs w:val="32"/>
          <w:u w:val="none" w:color="auto"/>
          <w:lang w:val="en-US" w:eastAsia="zh-CN" w:bidi="ar-SA"/>
        </w:rPr>
        <w:t>”，新建成规模化养殖场16个以上，力争牛奶产量达到785万吨。提升标准化集约化养殖水平，创建肉牛、肉羊标准化示范场800个，力争肉类产量达到300万吨。推进实施种业振兴三大工程，建设“看禾选种平台”60个，农作物良种繁育基地面积保持在100万亩以上。稳定优质饲草种植规模，强化饲草基地建设，大力发展羊草产业。</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全面落实《关于建设国家重要农畜产品生产基地的实施方案》，主要农畜产品加工转化率达到72%。</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（二）推动能源和战略资源基地绿色低碳转型。</w:t>
      </w:r>
      <w:r>
        <w:rPr>
          <w:rFonts w:hint="eastAsia" w:ascii="方正仿宋_GBK" w:hAnsi="方正仿宋_GBK" w:eastAsia="方正仿宋_GBK" w:cs="方正仿宋_GBK"/>
          <w:b w:val="0"/>
          <w:bCs w:val="0"/>
          <w:color w:val="auto"/>
          <w:kern w:val="2"/>
          <w:sz w:val="32"/>
          <w:szCs w:val="32"/>
          <w:u w:val="none" w:color="auto"/>
          <w:lang w:val="en-US" w:eastAsia="zh-CN" w:bidi="ar-SA"/>
        </w:rPr>
        <w:t>全面推进新能源项目建设，力争全年建成并网新能源装机2500万千瓦以上，新能源装机规模超过9000万千瓦，全年新能源发电量超过1500亿千瓦时。推动增加电网绿电比例的保障性项目建设，利用原有电力外送通道，加快已批待批规模超过4000万千瓦的新能源项目建设，提高既有输电通道绿电比例。争取乌兰布和大型风电光伏基地项目尽快获得批复，全面推动蒙西四大沙漠大型风电光伏基地4800万千瓦装机建设。创新市场化新能源应用场景，力推新批准市场化新能源项目建成并稳定运行，协同推进新能源装备制造产业发展，风电整建制配套能力达到2000万千瓦，光伏电池片和组件供给能力达到5000万千瓦，加快风光制氢项目建设，持续打造风光氢储全产业链。</w:t>
      </w:r>
      <w:r>
        <w:rPr>
          <w:rFonts w:hint="eastAsia" w:ascii="方正仿宋_GBK" w:hAnsi="方正仿宋_GBK" w:eastAsia="方正仿宋_GBK" w:cs="方正仿宋_GBK"/>
          <w:b w:val="0"/>
          <w:bCs w:val="0"/>
          <w:color w:val="auto"/>
          <w:kern w:val="2"/>
          <w:sz w:val="32"/>
          <w:szCs w:val="32"/>
          <w:u w:val="none" w:color="auto"/>
          <w:lang w:val="en" w:eastAsia="zh-CN" w:bidi="ar-SA"/>
        </w:rPr>
        <w:t>开工建设宝丰</w:t>
      </w:r>
      <w:r>
        <w:rPr>
          <w:rFonts w:hint="eastAsia" w:ascii="方正仿宋_GBK" w:hAnsi="方正仿宋_GBK" w:eastAsia="方正仿宋_GBK" w:cs="方正仿宋_GBK"/>
          <w:b w:val="0"/>
          <w:bCs w:val="0"/>
          <w:color w:val="auto"/>
          <w:kern w:val="2"/>
          <w:sz w:val="32"/>
          <w:szCs w:val="32"/>
          <w:u w:val="none" w:color="auto"/>
          <w:lang w:val="en-US" w:eastAsia="zh-CN" w:bidi="ar-SA"/>
        </w:rPr>
        <w:t>260万吨</w:t>
      </w:r>
      <w:r>
        <w:rPr>
          <w:rFonts w:hint="eastAsia" w:ascii="方正仿宋_GBK" w:hAnsi="方正仿宋_GBK" w:eastAsia="方正仿宋_GBK" w:cs="方正仿宋_GBK"/>
          <w:b w:val="0"/>
          <w:bCs w:val="0"/>
          <w:color w:val="auto"/>
          <w:kern w:val="2"/>
          <w:sz w:val="32"/>
          <w:szCs w:val="32"/>
          <w:u w:val="none" w:color="auto"/>
          <w:lang w:val="en" w:eastAsia="zh-CN" w:bidi="ar-SA"/>
        </w:rPr>
        <w:t>煤制烯烃、荣信</w:t>
      </w:r>
      <w:r>
        <w:rPr>
          <w:rFonts w:hint="eastAsia" w:ascii="方正仿宋_GBK" w:hAnsi="方正仿宋_GBK" w:eastAsia="方正仿宋_GBK" w:cs="方正仿宋_GBK"/>
          <w:b w:val="0"/>
          <w:bCs w:val="0"/>
          <w:color w:val="auto"/>
          <w:kern w:val="2"/>
          <w:sz w:val="32"/>
          <w:szCs w:val="32"/>
          <w:u w:val="none" w:color="auto"/>
          <w:lang w:val="en-US" w:eastAsia="zh-CN" w:bidi="ar-SA"/>
        </w:rPr>
        <w:t>80万吨甲醇制烯烃、华星40亿立方米煤制气一期工程</w:t>
      </w:r>
      <w:r>
        <w:rPr>
          <w:rFonts w:hint="eastAsia" w:ascii="方正仿宋_GBK" w:hAnsi="方正仿宋_GBK" w:eastAsia="方正仿宋_GBK" w:cs="方正仿宋_GBK"/>
          <w:b w:val="0"/>
          <w:bCs w:val="0"/>
          <w:color w:val="auto"/>
          <w:kern w:val="2"/>
          <w:sz w:val="32"/>
          <w:szCs w:val="32"/>
          <w:u w:val="none" w:color="auto"/>
          <w:lang w:val="en" w:eastAsia="zh-CN" w:bidi="ar-SA"/>
        </w:rPr>
        <w:t>等现代煤化工项目。</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（三）高质量完成能源保供任务。</w:t>
      </w:r>
      <w:r>
        <w:rPr>
          <w:rFonts w:hint="eastAsia" w:ascii="方正仿宋_GBK" w:hAnsi="方正仿宋_GBK" w:eastAsia="方正仿宋_GBK" w:cs="方正仿宋_GBK"/>
          <w:b w:val="0"/>
          <w:bCs w:val="0"/>
          <w:color w:val="auto"/>
          <w:kern w:val="2"/>
          <w:sz w:val="32"/>
          <w:szCs w:val="32"/>
          <w:u w:val="none" w:color="auto"/>
          <w:lang w:val="en" w:eastAsia="zh-CN" w:bidi="ar-SA"/>
        </w:rPr>
        <w:t>实施自治区《煤炭产能稳定接续和有序开发方案》，加快国家批复同意的核增产能煤矿手续办理，全力推动在建煤矿建成达产，努力盘活“僵尸”煤矿闲置资源，在产煤矿总产能稳定在13亿吨以上，煤炭产量达到12.5亿吨左右，保障全国2/3以上省份的用煤需求。切实保障电力供应，力争全年电力装机总规模突破2亿千瓦，发电量达到7100亿千瓦时左右，其中，外送电量达到2930亿千瓦时。推进外送通道建设，力争蒙西至京津冀直流输电工程核准并开工建设。落实国家新一轮找矿突破战略行动要求，加大油气资源勘探和增储上产力度，推动非煤矿产资源绿色安全有序开发。</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（四）推动制造业高端化智能化绿色化发展。</w:t>
      </w:r>
      <w:r>
        <w:rPr>
          <w:rFonts w:hint="eastAsia" w:ascii="方正仿宋_GBK" w:hAnsi="方正仿宋_GBK" w:eastAsia="方正仿宋_GBK" w:cs="方正仿宋_GBK"/>
          <w:b w:val="0"/>
          <w:bCs w:val="0"/>
          <w:color w:val="auto"/>
          <w:kern w:val="2"/>
          <w:sz w:val="32"/>
          <w:szCs w:val="32"/>
          <w:u w:val="none" w:color="auto"/>
          <w:lang w:val="en" w:eastAsia="zh-CN" w:bidi="ar-SA"/>
        </w:rPr>
        <w:t>加快推进产业集群和重点产业链建设，实施先进制造业产业集群产业链项目</w:t>
      </w:r>
      <w:r>
        <w:rPr>
          <w:rFonts w:hint="eastAsia" w:ascii="方正仿宋_GBK" w:hAnsi="方正仿宋_GBK" w:eastAsia="方正仿宋_GBK" w:cs="方正仿宋_GBK"/>
          <w:b w:val="0"/>
          <w:bCs w:val="0"/>
          <w:color w:val="auto"/>
          <w:kern w:val="2"/>
          <w:sz w:val="32"/>
          <w:szCs w:val="32"/>
          <w:u w:val="none" w:color="auto"/>
          <w:lang w:val="en-US" w:eastAsia="zh-CN" w:bidi="ar-SA"/>
        </w:rPr>
        <w:t>580个，争取年内竣工投产200个以上，规模以上企业达到3600户</w:t>
      </w:r>
      <w:r>
        <w:rPr>
          <w:rFonts w:hint="eastAsia" w:ascii="方正仿宋_GBK" w:hAnsi="方正仿宋_GBK" w:eastAsia="方正仿宋_GBK" w:cs="方正仿宋_GBK"/>
          <w:b w:val="0"/>
          <w:bCs w:val="0"/>
          <w:color w:val="auto"/>
          <w:kern w:val="2"/>
          <w:sz w:val="32"/>
          <w:szCs w:val="32"/>
          <w:u w:val="none" w:color="auto"/>
          <w:lang w:val="en" w:eastAsia="zh-CN" w:bidi="ar-SA"/>
        </w:rPr>
        <w:t>。实施产业基础再造工程，大力推进产业数字化，加快全国一体化算力网络国家枢纽节点、5G</w:t>
      </w:r>
      <w:r>
        <w:rPr>
          <w:rFonts w:hint="eastAsia" w:ascii="方正仿宋_GBK" w:hAnsi="方正仿宋_GBK" w:eastAsia="方正仿宋_GBK" w:cs="方正仿宋_GBK"/>
          <w:b w:val="0"/>
          <w:bCs w:val="0"/>
          <w:color w:val="auto"/>
          <w:kern w:val="2"/>
          <w:sz w:val="32"/>
          <w:szCs w:val="32"/>
          <w:u w:val="none" w:color="auto"/>
          <w:lang w:val="en-US" w:eastAsia="zh-CN" w:bidi="ar-SA"/>
        </w:rPr>
        <w:t>基站</w:t>
      </w:r>
      <w:r>
        <w:rPr>
          <w:rFonts w:hint="eastAsia" w:ascii="方正仿宋_GBK" w:hAnsi="方正仿宋_GBK" w:eastAsia="方正仿宋_GBK" w:cs="方正仿宋_GBK"/>
          <w:b w:val="0"/>
          <w:bCs w:val="0"/>
          <w:color w:val="auto"/>
          <w:kern w:val="2"/>
          <w:sz w:val="32"/>
          <w:szCs w:val="32"/>
          <w:u w:val="none" w:color="auto"/>
          <w:lang w:val="en" w:eastAsia="zh-CN" w:bidi="ar-SA"/>
        </w:rPr>
        <w:t>、工业互联网、绿色数据中心等新型基础设施建设，组织实施一批企业数字化转型项目，力争年内新建5G基站</w:t>
      </w:r>
      <w:r>
        <w:rPr>
          <w:rFonts w:hint="eastAsia" w:ascii="方正仿宋_GBK" w:hAnsi="方正仿宋_GBK" w:eastAsia="方正仿宋_GBK" w:cs="方正仿宋_GBK"/>
          <w:b w:val="0"/>
          <w:bCs w:val="0"/>
          <w:color w:val="auto"/>
          <w:kern w:val="2"/>
          <w:sz w:val="32"/>
          <w:szCs w:val="32"/>
          <w:u w:val="none" w:color="auto"/>
          <w:lang w:val="en-US" w:eastAsia="zh-CN" w:bidi="ar-SA"/>
        </w:rPr>
        <w:t>2</w:t>
      </w:r>
      <w:r>
        <w:rPr>
          <w:rFonts w:hint="eastAsia" w:ascii="方正仿宋_GBK" w:hAnsi="方正仿宋_GBK" w:eastAsia="方正仿宋_GBK" w:cs="方正仿宋_GBK"/>
          <w:b w:val="0"/>
          <w:bCs w:val="0"/>
          <w:color w:val="auto"/>
          <w:kern w:val="2"/>
          <w:sz w:val="32"/>
          <w:szCs w:val="32"/>
          <w:u w:val="none" w:color="auto"/>
          <w:lang w:val="en" w:eastAsia="zh-CN" w:bidi="ar-SA"/>
        </w:rPr>
        <w:t>万个，建设工业互联网平台6个、智能工厂15个。开展绿色制造示范创建，推进低碳零碳、智慧园区建设，新开工实施节能、节水技术改造项目</w:t>
      </w:r>
      <w:r>
        <w:rPr>
          <w:rFonts w:hint="eastAsia" w:ascii="方正仿宋_GBK" w:hAnsi="方正仿宋_GBK" w:eastAsia="方正仿宋_GBK" w:cs="方正仿宋_GBK"/>
          <w:b w:val="0"/>
          <w:bCs w:val="0"/>
          <w:color w:val="auto"/>
          <w:kern w:val="2"/>
          <w:sz w:val="32"/>
          <w:szCs w:val="32"/>
          <w:u w:val="none" w:color="auto"/>
          <w:lang w:val="en-US" w:eastAsia="zh-CN" w:bidi="ar-SA"/>
        </w:rPr>
        <w:t>12</w:t>
      </w:r>
      <w:r>
        <w:rPr>
          <w:rFonts w:hint="eastAsia" w:ascii="方正仿宋_GBK" w:hAnsi="方正仿宋_GBK" w:eastAsia="方正仿宋_GBK" w:cs="方正仿宋_GBK"/>
          <w:b w:val="0"/>
          <w:bCs w:val="0"/>
          <w:color w:val="auto"/>
          <w:kern w:val="2"/>
          <w:sz w:val="32"/>
          <w:szCs w:val="32"/>
          <w:u w:val="none" w:color="auto"/>
          <w:lang w:val="en" w:eastAsia="zh-CN" w:bidi="ar-SA"/>
        </w:rPr>
        <w:t>0个，</w:t>
      </w:r>
      <w:r>
        <w:rPr>
          <w:rFonts w:hint="eastAsia" w:ascii="方正仿宋_GBK" w:hAnsi="方正仿宋_GBK" w:eastAsia="方正仿宋_GBK" w:cs="方正仿宋_GBK"/>
          <w:b w:val="0"/>
          <w:bCs w:val="0"/>
          <w:color w:val="auto"/>
          <w:kern w:val="2"/>
          <w:sz w:val="32"/>
          <w:szCs w:val="32"/>
          <w:u w:val="none" w:color="auto"/>
          <w:lang w:val="en-US" w:eastAsia="zh-CN" w:bidi="ar-SA"/>
        </w:rPr>
        <w:t>年内将</w:t>
      </w:r>
      <w:r>
        <w:rPr>
          <w:rFonts w:hint="eastAsia" w:ascii="方正仿宋_GBK" w:hAnsi="方正仿宋_GBK" w:eastAsia="方正仿宋_GBK" w:cs="方正仿宋_GBK"/>
          <w:b w:val="0"/>
          <w:bCs w:val="0"/>
          <w:color w:val="auto"/>
          <w:kern w:val="2"/>
          <w:sz w:val="32"/>
          <w:szCs w:val="32"/>
          <w:u w:val="none" w:color="auto"/>
          <w:lang w:val="en" w:eastAsia="zh-CN" w:bidi="ar-SA"/>
        </w:rPr>
        <w:t>工业园区全部建成智慧园区。推动企业创新发展，培育创新型中小企业120户、“专精特新”中小企业60户。</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（五）培育服务业支柱产业。</w:t>
      </w:r>
      <w:r>
        <w:rPr>
          <w:rFonts w:hint="eastAsia" w:ascii="方正仿宋_GBK" w:hAnsi="方正仿宋_GBK" w:eastAsia="方正仿宋_GBK" w:cs="方正仿宋_GBK"/>
          <w:b w:val="0"/>
          <w:bCs w:val="0"/>
          <w:color w:val="auto"/>
          <w:kern w:val="2"/>
          <w:sz w:val="32"/>
          <w:szCs w:val="32"/>
          <w:u w:val="none" w:color="auto"/>
          <w:lang w:val="en" w:eastAsia="zh-CN" w:bidi="ar-SA"/>
        </w:rPr>
        <w:t>大力发展数字经济，推动平台企业健康发展，支持数据开发应用产业发展。推进运输结构优化，推动大宗货物中长距离运输向铁路转移，提高公路服务区充电基础设施覆盖率，实现高速公路服务区和具备条件的普通国省干线服务区充电基础设施全覆盖。提升金融业服务能力和发展水平，用足用好货币政策工具，扩大直接融资规模，深入实施企业上市“天骏计划”，力争全年实现</w:t>
      </w:r>
      <w:r>
        <w:rPr>
          <w:rFonts w:hint="eastAsia" w:ascii="方正仿宋_GBK" w:hAnsi="方正仿宋_GBK" w:eastAsia="方正仿宋_GBK" w:cs="方正仿宋_GBK"/>
          <w:b w:val="0"/>
          <w:bCs w:val="0"/>
          <w:color w:val="auto"/>
          <w:kern w:val="2"/>
          <w:sz w:val="32"/>
          <w:szCs w:val="32"/>
          <w:u w:val="none" w:color="auto"/>
          <w:lang w:val="en-US" w:eastAsia="zh-CN" w:bidi="ar-SA"/>
        </w:rPr>
        <w:t>5家企业上市首发融资，大力</w:t>
      </w:r>
      <w:r>
        <w:rPr>
          <w:rFonts w:hint="eastAsia" w:ascii="方正仿宋_GBK" w:hAnsi="方正仿宋_GBK" w:eastAsia="方正仿宋_GBK" w:cs="方正仿宋_GBK"/>
          <w:b w:val="0"/>
          <w:bCs w:val="0"/>
          <w:color w:val="auto"/>
          <w:kern w:val="2"/>
          <w:sz w:val="32"/>
          <w:szCs w:val="32"/>
          <w:u w:val="none" w:color="auto"/>
          <w:lang w:val="en" w:eastAsia="zh-CN" w:bidi="ar-SA"/>
        </w:rPr>
        <w:t>发展绿色金融、现代能源金融、农牧业金融、开放金融、科创金融、普惠金融。促进旅游业高质量发展，争取阿尔山国家级旅游度假区获批，推动呼伦贝尔大草原—莫尔格勒河景区和库布其七星湖沙漠生态旅游区创建国家5A级旅游景区，举办第33届旅游那达慕、第20届冰雪那达慕、2023阿尔山旅游论坛、黄河几字弯文化旅游节等系列旅游活动，激发旅游市场活力。</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三、</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推进绿色低碳节约集约发展，筑牢我国北方重要生态安全屏障</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Fonts w:hint="eastAsia" w:ascii="方正仿宋_GBK" w:hAnsi="方正仿宋_GBK" w:eastAsia="方正仿宋_GBK" w:cs="方正仿宋_GBK"/>
          <w:b w:val="0"/>
          <w:bCs w:val="0"/>
          <w:color w:val="auto"/>
          <w:kern w:val="2"/>
          <w:sz w:val="32"/>
          <w:szCs w:val="32"/>
          <w:u w:val="none" w:color="auto"/>
          <w:lang w:val="en" w:eastAsia="zh-CN" w:bidi="ar-SA"/>
        </w:rPr>
        <w:t>推动经济社会发展绿色转型，</w:t>
      </w:r>
      <w:r>
        <w:rPr>
          <w:rFonts w:hint="eastAsia" w:ascii="方正仿宋_GBK" w:hAnsi="方正仿宋_GBK" w:eastAsia="方正仿宋_GBK" w:cs="方正仿宋_GBK"/>
          <w:b w:val="0"/>
          <w:bCs w:val="0"/>
          <w:color w:val="auto"/>
          <w:kern w:val="2"/>
          <w:sz w:val="32"/>
          <w:szCs w:val="32"/>
          <w:u w:val="none" w:color="auto"/>
          <w:lang w:val="en-US" w:eastAsia="zh-CN" w:bidi="ar-SA"/>
        </w:rPr>
        <w:t>全面加强资源节约工作，</w:t>
      </w:r>
      <w:r>
        <w:rPr>
          <w:rFonts w:hint="eastAsia" w:ascii="方正仿宋_GBK" w:hAnsi="方正仿宋_GBK" w:eastAsia="方正仿宋_GBK" w:cs="方正仿宋_GBK"/>
          <w:b w:val="0"/>
          <w:bCs w:val="0"/>
          <w:color w:val="auto"/>
          <w:kern w:val="2"/>
          <w:sz w:val="32"/>
          <w:szCs w:val="32"/>
          <w:u w:val="none" w:color="auto"/>
          <w:lang w:val="en" w:eastAsia="zh-CN" w:bidi="ar-SA"/>
        </w:rPr>
        <w:t>协同推进降碳、减污、扩绿、增长，积极创建国家生态文明试验区。</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（一）实施全面节约战略。</w:t>
      </w:r>
      <w:r>
        <w:rPr>
          <w:rFonts w:hint="eastAsia" w:ascii="方正仿宋_GBK" w:hAnsi="方正仿宋_GBK" w:eastAsia="方正仿宋_GBK" w:cs="方正仿宋_GBK"/>
          <w:b w:val="0"/>
          <w:bCs w:val="0"/>
          <w:color w:val="auto"/>
          <w:kern w:val="2"/>
          <w:sz w:val="32"/>
          <w:szCs w:val="32"/>
          <w:u w:val="none" w:color="auto"/>
          <w:lang w:val="en" w:eastAsia="zh-CN" w:bidi="ar-SA"/>
        </w:rPr>
        <w:t>深入开展“五个大起底”行动，把各种闲置浪费、低质低效利用的资源要素全面盘活、高效利用起来，全年消化批而未供土地12.54万亩、处置闲置土地3.8</w:t>
      </w:r>
      <w:r>
        <w:rPr>
          <w:rFonts w:hint="eastAsia" w:ascii="方正仿宋_GBK" w:hAnsi="方正仿宋_GBK" w:eastAsia="方正仿宋_GBK" w:cs="方正仿宋_GBK"/>
          <w:b w:val="0"/>
          <w:bCs w:val="0"/>
          <w:color w:val="auto"/>
          <w:kern w:val="2"/>
          <w:sz w:val="32"/>
          <w:szCs w:val="32"/>
          <w:u w:val="none" w:color="auto"/>
          <w:lang w:val="en-US" w:eastAsia="zh-CN" w:bidi="ar-SA"/>
        </w:rPr>
        <w:t>2</w:t>
      </w:r>
      <w:r>
        <w:rPr>
          <w:rFonts w:hint="eastAsia" w:ascii="方正仿宋_GBK" w:hAnsi="方正仿宋_GBK" w:eastAsia="方正仿宋_GBK" w:cs="方正仿宋_GBK"/>
          <w:b w:val="0"/>
          <w:bCs w:val="0"/>
          <w:color w:val="auto"/>
          <w:kern w:val="2"/>
          <w:sz w:val="32"/>
          <w:szCs w:val="32"/>
          <w:u w:val="none" w:color="auto"/>
          <w:lang w:val="en" w:eastAsia="zh-CN" w:bidi="ar-SA"/>
        </w:rPr>
        <w:t>万亩，实现“半拉子”工程全部盘活销号。全面加强资源节约工作，深入推进各领域节约行动，抓紧完善统计核算和指标评价体系，建立资源节约集约信息化治理平台。推行“区域评估+标准地”模式，新增工业用地出让中“标准地”占比达到30%，工业园区亩均产值达到1</w:t>
      </w:r>
      <w:r>
        <w:rPr>
          <w:rFonts w:hint="eastAsia" w:ascii="方正仿宋_GBK" w:hAnsi="方正仿宋_GBK" w:eastAsia="方正仿宋_GBK" w:cs="方正仿宋_GBK"/>
          <w:b w:val="0"/>
          <w:bCs w:val="0"/>
          <w:color w:val="auto"/>
          <w:kern w:val="2"/>
          <w:sz w:val="32"/>
          <w:szCs w:val="32"/>
          <w:u w:val="none" w:color="auto"/>
          <w:lang w:val="en-US" w:eastAsia="zh-CN" w:bidi="ar-SA"/>
        </w:rPr>
        <w:t>4</w:t>
      </w:r>
      <w:r>
        <w:rPr>
          <w:rFonts w:hint="eastAsia" w:ascii="方正仿宋_GBK" w:hAnsi="方正仿宋_GBK" w:eastAsia="方正仿宋_GBK" w:cs="方正仿宋_GBK"/>
          <w:b w:val="0"/>
          <w:bCs w:val="0"/>
          <w:color w:val="auto"/>
          <w:kern w:val="2"/>
          <w:sz w:val="32"/>
          <w:szCs w:val="32"/>
          <w:u w:val="none" w:color="auto"/>
          <w:lang w:val="en" w:eastAsia="zh-CN" w:bidi="ar-SA"/>
        </w:rPr>
        <w:t>0万元/亩。强化水资源总量强度双控刚性约束，加快构建现代水网，建成东台子水库，推进引绰济辽二期、河套灌区续建配套与现代化改造等工程，开展黄河防洪三期、引嫩济锡等工程前期工作，全区全年用水总量控制在196.3亿立方米以内，万元国内生产总值用水量、万元工业增加值用水量分别比2020年下降6%、7%，农田灌溉水有效利用系数提高到0.573。</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right="0" w:firstLine="640" w:firstLineChars="200"/>
        <w:jc w:val="both"/>
        <w:textAlignment w:val="baseline"/>
        <w:outlineLvl w:val="9"/>
        <w:rPr>
          <w:rFonts w:hint="eastAsia" w:ascii="方正仿宋_GBK" w:hAnsi="方正仿宋_GBK" w:eastAsia="方正仿宋_GBK" w:cs="方正仿宋_GBK"/>
          <w:b w:val="0"/>
          <w:bCs w:val="0"/>
          <w:color w:val="auto"/>
          <w:spacing w:val="6"/>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（二）科学有序推进碳达峰碳中和。</w:t>
      </w:r>
      <w:r>
        <w:rPr>
          <w:rFonts w:hint="eastAsia" w:ascii="方正仿宋_GBK" w:hAnsi="方正仿宋_GBK" w:eastAsia="方正仿宋_GBK" w:cs="方正仿宋_GBK"/>
          <w:b w:val="0"/>
          <w:bCs w:val="0"/>
          <w:color w:val="auto"/>
          <w:kern w:val="2"/>
          <w:sz w:val="32"/>
          <w:szCs w:val="32"/>
          <w:u w:val="none" w:color="auto"/>
          <w:lang w:val="en" w:eastAsia="zh-CN" w:bidi="ar-SA"/>
        </w:rPr>
        <w:t>积极稳妥推进碳达峰碳中和“1+N+X”政策体系落实，推动国家出台《新时期推进内蒙古绿色低碳高质量发展若干支持意见》，在落实碳达峰碳中和目标任务过程中锻造新的产业竞争优势。推动能源、工业、建筑、交通等领域清洁低碳转型，建立健全碳排放统计核算制度，提升生态系统碳汇能力。逐步推进能耗“双控”向碳排放“双控”转变，争创“能耗‘双控’向碳排放‘双控’转变”全国试点，加大参与国家碳汇标准开发的力度，推进构建体现生态产品价值实现、体现生态补偿的林草碳汇开发机制。严格落实《“两高”项</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目低水平盲目发展管控目录》，开展建筑等重点领域节能降碳行动。</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（三）持续打好污染防治攻坚战。</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强化污染物排放总量控制</w:t>
      </w:r>
      <w:r>
        <w:rPr>
          <w:rFonts w:hint="eastAsia" w:ascii="方正仿宋_GBK" w:hAnsi="方正仿宋_GBK" w:eastAsia="方正仿宋_GBK" w:cs="方正仿宋_GBK"/>
          <w:b w:val="0"/>
          <w:bCs w:val="0"/>
          <w:color w:val="auto"/>
          <w:kern w:val="2"/>
          <w:sz w:val="32"/>
          <w:szCs w:val="32"/>
          <w:u w:val="none" w:color="auto"/>
          <w:lang w:val="en" w:eastAsia="zh-CN" w:bidi="ar-SA"/>
        </w:rPr>
        <w:t>，推动</w:t>
      </w:r>
      <w:r>
        <w:rPr>
          <w:rFonts w:hint="eastAsia" w:ascii="方正仿宋_GBK" w:hAnsi="方正仿宋_GBK" w:eastAsia="方正仿宋_GBK" w:cs="方正仿宋_GBK"/>
          <w:b w:val="0"/>
          <w:bCs w:val="0"/>
          <w:color w:val="auto"/>
          <w:kern w:val="2"/>
          <w:sz w:val="32"/>
          <w:szCs w:val="32"/>
          <w:u w:val="none" w:color="auto"/>
          <w:lang w:val="en-US" w:eastAsia="zh-CN" w:bidi="ar-SA"/>
        </w:rPr>
        <w:t>65蒸吨及以上燃煤锅炉、钢铁、焦化行业超低排放改造，</w:t>
      </w:r>
      <w:r>
        <w:rPr>
          <w:rFonts w:hint="eastAsia" w:ascii="方正仿宋_GBK" w:hAnsi="方正仿宋_GBK" w:eastAsia="方正仿宋_GBK" w:cs="方正仿宋_GBK"/>
          <w:b w:val="0"/>
          <w:bCs w:val="0"/>
          <w:color w:val="auto"/>
          <w:kern w:val="2"/>
          <w:sz w:val="32"/>
          <w:szCs w:val="32"/>
          <w:u w:val="none" w:color="auto"/>
          <w:lang w:val="en" w:eastAsia="zh-CN" w:bidi="ar-SA"/>
        </w:rPr>
        <w:t>加强重污染天气预警预报，突出抓好乌海及周边地区大气污染联防联控联治。巩固13条城市黑臭水体治理成果，完成“一湖两海”及察汗淖尔年度治理任务，持续整改黄河流域生态环境问题，加快推进劣Ⅴ类水体治理，基本消除四道沙河入黄口、大黑河浑津桥劣Ⅴ类水质断面。全面加强土壤污染源头防控，</w:t>
      </w:r>
      <w:r>
        <w:rPr>
          <w:rFonts w:hint="eastAsia" w:ascii="方正仿宋_GBK" w:hAnsi="方正仿宋_GBK" w:eastAsia="方正仿宋_GBK" w:cs="方正仿宋_GBK"/>
          <w:b w:val="0"/>
          <w:bCs w:val="0"/>
          <w:color w:val="auto"/>
          <w:kern w:val="2"/>
          <w:sz w:val="32"/>
          <w:szCs w:val="32"/>
          <w:u w:val="none" w:color="auto"/>
          <w:lang w:val="en-US" w:eastAsia="zh-CN" w:bidi="ar-SA"/>
        </w:rPr>
        <w:t>实施</w:t>
      </w:r>
      <w:r>
        <w:rPr>
          <w:rFonts w:hint="eastAsia" w:ascii="方正仿宋_GBK" w:hAnsi="方正仿宋_GBK" w:eastAsia="方正仿宋_GBK" w:cs="方正仿宋_GBK"/>
          <w:b w:val="0"/>
          <w:bCs w:val="0"/>
          <w:color w:val="auto"/>
          <w:kern w:val="2"/>
          <w:sz w:val="32"/>
          <w:szCs w:val="32"/>
          <w:u w:val="none" w:color="auto"/>
          <w:lang w:val="en" w:eastAsia="zh-CN" w:bidi="ar-SA"/>
        </w:rPr>
        <w:t>农用地断源工程和新污染物治理行动方案，深入推进“无废城市”高质量建设，争取国家区域性特殊类别危险废物集中处置中心在自治区落地实施。抓好中央生态环境保护督察整改工作，2023年底前再完成整改23项，整改率达到60%以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（四）加大生态系统保护力度。</w:t>
      </w:r>
      <w:r>
        <w:rPr>
          <w:rFonts w:hint="eastAsia" w:ascii="方正仿宋_GBK" w:hAnsi="方正仿宋_GBK" w:eastAsia="方正仿宋_GBK" w:cs="方正仿宋_GBK"/>
          <w:b w:val="0"/>
          <w:bCs w:val="0"/>
          <w:color w:val="auto"/>
          <w:kern w:val="2"/>
          <w:sz w:val="32"/>
          <w:szCs w:val="32"/>
          <w:u w:val="none" w:color="auto"/>
          <w:lang w:val="en" w:eastAsia="zh-CN" w:bidi="ar-SA"/>
        </w:rPr>
        <w:t>全面落实《内蒙古自治区建设我国北方重要生态安全屏障实施方案》。加快“三线一单”成果落地应用，争取自治区国土空间规划获国家批复。统筹山水林田湖草沙系统治理，全年完成造林</w:t>
      </w:r>
      <w:r>
        <w:rPr>
          <w:rFonts w:hint="eastAsia" w:ascii="方正仿宋_GBK" w:hAnsi="方正仿宋_GBK" w:eastAsia="方正仿宋_GBK" w:cs="方正仿宋_GBK"/>
          <w:b w:val="0"/>
          <w:bCs w:val="0"/>
          <w:color w:val="auto"/>
          <w:kern w:val="2"/>
          <w:sz w:val="32"/>
          <w:szCs w:val="32"/>
          <w:u w:val="none" w:color="auto"/>
          <w:lang w:val="en-US" w:eastAsia="zh-CN" w:bidi="ar-SA"/>
        </w:rPr>
        <w:t>3</w:t>
      </w:r>
      <w:r>
        <w:rPr>
          <w:rFonts w:hint="eastAsia" w:ascii="方正仿宋_GBK" w:hAnsi="方正仿宋_GBK" w:eastAsia="方正仿宋_GBK" w:cs="方正仿宋_GBK"/>
          <w:b w:val="0"/>
          <w:bCs w:val="0"/>
          <w:color w:val="auto"/>
          <w:kern w:val="2"/>
          <w:sz w:val="32"/>
          <w:szCs w:val="32"/>
          <w:u w:val="none" w:color="auto"/>
          <w:lang w:val="en" w:eastAsia="zh-CN" w:bidi="ar-SA"/>
        </w:rPr>
        <w:t>00万亩、防沙治沙5</w:t>
      </w:r>
      <w:r>
        <w:rPr>
          <w:rFonts w:hint="eastAsia" w:ascii="方正仿宋_GBK" w:hAnsi="方正仿宋_GBK" w:eastAsia="方正仿宋_GBK" w:cs="方正仿宋_GBK"/>
          <w:b w:val="0"/>
          <w:bCs w:val="0"/>
          <w:color w:val="auto"/>
          <w:kern w:val="2"/>
          <w:sz w:val="32"/>
          <w:szCs w:val="32"/>
          <w:u w:val="none" w:color="auto"/>
          <w:lang w:val="en-US" w:eastAsia="zh-CN" w:bidi="ar-SA"/>
        </w:rPr>
        <w:t>0</w:t>
      </w:r>
      <w:r>
        <w:rPr>
          <w:rFonts w:hint="eastAsia" w:ascii="方正仿宋_GBK" w:hAnsi="方正仿宋_GBK" w:eastAsia="方正仿宋_GBK" w:cs="方正仿宋_GBK"/>
          <w:b w:val="0"/>
          <w:bCs w:val="0"/>
          <w:color w:val="auto"/>
          <w:kern w:val="2"/>
          <w:sz w:val="32"/>
          <w:szCs w:val="32"/>
          <w:u w:val="none" w:color="auto"/>
          <w:lang w:val="en" w:eastAsia="zh-CN" w:bidi="ar-SA"/>
        </w:rPr>
        <w:t>0万亩、种草1300万亩，其中，羊草草地生态修复治理222万亩。把森林草原质量提升摆在更加重要位置，完成森林抚育任务160万亩，新建草种子繁育基地1</w:t>
      </w:r>
      <w:r>
        <w:rPr>
          <w:rFonts w:hint="eastAsia" w:ascii="方正仿宋_GBK" w:hAnsi="方正仿宋_GBK" w:eastAsia="方正仿宋_GBK" w:cs="方正仿宋_GBK"/>
          <w:b w:val="0"/>
          <w:bCs w:val="0"/>
          <w:color w:val="auto"/>
          <w:kern w:val="2"/>
          <w:sz w:val="32"/>
          <w:szCs w:val="32"/>
          <w:u w:val="none" w:color="auto"/>
          <w:lang w:val="en-US" w:eastAsia="zh-CN" w:bidi="ar-SA"/>
        </w:rPr>
        <w:t>0.5</w:t>
      </w:r>
      <w:r>
        <w:rPr>
          <w:rFonts w:hint="eastAsia" w:ascii="方正仿宋_GBK" w:hAnsi="方正仿宋_GBK" w:eastAsia="方正仿宋_GBK" w:cs="方正仿宋_GBK"/>
          <w:b w:val="0"/>
          <w:bCs w:val="0"/>
          <w:color w:val="auto"/>
          <w:kern w:val="2"/>
          <w:sz w:val="32"/>
          <w:szCs w:val="32"/>
          <w:u w:val="none" w:color="auto"/>
          <w:lang w:val="en" w:eastAsia="zh-CN" w:bidi="ar-SA"/>
        </w:rPr>
        <w:t>万亩。</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四、进一步深化改革开放，持续增强发展动力和活力</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Fonts w:hint="eastAsia" w:ascii="方正仿宋_GBK" w:hAnsi="方正仿宋_GBK" w:eastAsia="方正仿宋_GBK" w:cs="方正仿宋_GBK"/>
          <w:b w:val="0"/>
          <w:bCs w:val="0"/>
          <w:color w:val="auto"/>
          <w:kern w:val="2"/>
          <w:sz w:val="32"/>
          <w:szCs w:val="32"/>
          <w:u w:val="none" w:color="auto"/>
          <w:lang w:val="en" w:eastAsia="zh-CN" w:bidi="ar-SA"/>
        </w:rPr>
        <w:t>加快构建高水平社会主义市场经济体制，</w:t>
      </w:r>
      <w:r>
        <w:rPr>
          <w:rFonts w:hint="eastAsia" w:ascii="方正仿宋_GBK" w:hAnsi="方正仿宋_GBK" w:eastAsia="方正仿宋_GBK" w:cs="方正仿宋_GBK"/>
          <w:b w:val="0"/>
          <w:bCs w:val="0"/>
          <w:color w:val="auto"/>
          <w:kern w:val="2"/>
          <w:sz w:val="32"/>
          <w:szCs w:val="32"/>
          <w:u w:val="none" w:color="auto"/>
          <w:lang w:val="en-US" w:eastAsia="zh-CN" w:bidi="ar-SA"/>
        </w:rPr>
        <w:t>提升我国向北开放重要桥头堡建设水平，</w:t>
      </w:r>
      <w:r>
        <w:rPr>
          <w:rFonts w:hint="eastAsia" w:ascii="方正仿宋_GBK" w:hAnsi="方正仿宋_GBK" w:eastAsia="方正仿宋_GBK" w:cs="方正仿宋_GBK"/>
          <w:b w:val="0"/>
          <w:bCs w:val="0"/>
          <w:color w:val="auto"/>
          <w:kern w:val="2"/>
          <w:sz w:val="32"/>
          <w:szCs w:val="32"/>
          <w:u w:val="none" w:color="auto"/>
          <w:lang w:val="en" w:eastAsia="zh-CN" w:bidi="ar-SA"/>
        </w:rPr>
        <w:t>推动共建“一带一路”高质量发展。</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（一）切实优化营商环境。</w:t>
      </w:r>
      <w:r>
        <w:rPr>
          <w:rFonts w:hint="eastAsia" w:ascii="方正仿宋_GBK" w:hAnsi="方正仿宋_GBK" w:eastAsia="方正仿宋_GBK" w:cs="方正仿宋_GBK"/>
          <w:b w:val="0"/>
          <w:bCs w:val="0"/>
          <w:color w:val="auto"/>
          <w:kern w:val="2"/>
          <w:sz w:val="32"/>
          <w:szCs w:val="32"/>
          <w:u w:val="none" w:color="auto"/>
          <w:lang w:val="en-US" w:eastAsia="zh-CN" w:bidi="ar-SA"/>
        </w:rPr>
        <w:t>鼓励支持民营经济和民营企业发展壮大，深入落实《关于进一步支持民营经济高质量发展的若干措施》《关于构建亲清新型政商关系的意见》等政策举措，</w:t>
      </w:r>
      <w:r>
        <w:rPr>
          <w:rFonts w:hint="eastAsia" w:ascii="方正仿宋_GBK" w:hAnsi="方正仿宋_GBK" w:eastAsia="方正仿宋_GBK" w:cs="方正仿宋_GBK"/>
          <w:b w:val="0"/>
          <w:bCs w:val="0"/>
          <w:color w:val="auto"/>
          <w:kern w:val="2"/>
          <w:sz w:val="32"/>
          <w:szCs w:val="32"/>
          <w:u w:val="none" w:color="auto"/>
          <w:lang w:val="en" w:eastAsia="zh-CN" w:bidi="ar-SA"/>
        </w:rPr>
        <w:t>依法保护民营企业产权和企业家权益</w:t>
      </w:r>
      <w:r>
        <w:rPr>
          <w:rFonts w:hint="eastAsia" w:ascii="方正仿宋_GBK" w:hAnsi="方正仿宋_GBK" w:eastAsia="方正仿宋_GBK" w:cs="方正仿宋_GBK"/>
          <w:b w:val="0"/>
          <w:bCs w:val="0"/>
          <w:color w:val="auto"/>
          <w:kern w:val="2"/>
          <w:sz w:val="32"/>
          <w:szCs w:val="32"/>
          <w:u w:val="none" w:color="auto"/>
          <w:lang w:val="en-US" w:eastAsia="zh-CN" w:bidi="ar-SA"/>
        </w:rPr>
        <w:t>。完成《以更优营商环境服务市场主体行动方案》各项任务，科学规范开展营商环境评估，及时解决评估中发现的问题。</w:t>
      </w:r>
      <w:r>
        <w:rPr>
          <w:rFonts w:hint="eastAsia" w:ascii="方正仿宋_GBK" w:hAnsi="方正仿宋_GBK" w:eastAsia="方正仿宋_GBK" w:cs="方正仿宋_GBK"/>
          <w:b w:val="0"/>
          <w:bCs w:val="0"/>
          <w:color w:val="auto"/>
          <w:kern w:val="2"/>
          <w:sz w:val="32"/>
          <w:szCs w:val="32"/>
          <w:u w:val="none" w:color="auto"/>
          <w:lang w:val="en" w:eastAsia="zh-CN" w:bidi="ar-SA"/>
        </w:rPr>
        <w:t>实施自治区招商引资三年（</w:t>
      </w:r>
      <w:r>
        <w:rPr>
          <w:rFonts w:hint="eastAsia" w:ascii="方正仿宋_GBK" w:hAnsi="方正仿宋_GBK" w:eastAsia="方正仿宋_GBK" w:cs="方正仿宋_GBK"/>
          <w:b w:val="0"/>
          <w:bCs w:val="0"/>
          <w:color w:val="auto"/>
          <w:kern w:val="2"/>
          <w:sz w:val="32"/>
          <w:szCs w:val="32"/>
          <w:u w:val="none" w:color="auto"/>
          <w:lang w:val="en-US" w:eastAsia="zh-CN" w:bidi="ar-SA"/>
        </w:rPr>
        <w:t>2023—2025年</w:t>
      </w:r>
      <w:r>
        <w:rPr>
          <w:rFonts w:hint="eastAsia" w:ascii="方正仿宋_GBK" w:hAnsi="方正仿宋_GBK" w:eastAsia="方正仿宋_GBK" w:cs="方正仿宋_GBK"/>
          <w:b w:val="0"/>
          <w:bCs w:val="0"/>
          <w:color w:val="auto"/>
          <w:kern w:val="2"/>
          <w:sz w:val="32"/>
          <w:szCs w:val="32"/>
          <w:u w:val="none" w:color="auto"/>
          <w:lang w:val="en" w:eastAsia="zh-CN" w:bidi="ar-SA"/>
        </w:rPr>
        <w:t>）行动方案，抓好“</w:t>
      </w:r>
      <w:r>
        <w:rPr>
          <w:rFonts w:hint="eastAsia" w:ascii="方正仿宋_GBK" w:hAnsi="方正仿宋_GBK" w:eastAsia="方正仿宋_GBK" w:cs="方正仿宋_GBK"/>
          <w:b w:val="0"/>
          <w:bCs w:val="0"/>
          <w:color w:val="auto"/>
          <w:kern w:val="2"/>
          <w:sz w:val="32"/>
          <w:szCs w:val="32"/>
          <w:u w:val="none" w:color="auto"/>
          <w:lang w:val="en-US" w:eastAsia="zh-CN" w:bidi="ar-SA"/>
        </w:rPr>
        <w:t>500强企业进内蒙古</w:t>
      </w:r>
      <w:r>
        <w:rPr>
          <w:rFonts w:hint="eastAsia" w:ascii="方正仿宋_GBK" w:hAnsi="方正仿宋_GBK" w:eastAsia="方正仿宋_GBK" w:cs="方正仿宋_GBK"/>
          <w:b w:val="0"/>
          <w:bCs w:val="0"/>
          <w:color w:val="auto"/>
          <w:kern w:val="2"/>
          <w:sz w:val="32"/>
          <w:szCs w:val="32"/>
          <w:u w:val="none" w:color="auto"/>
          <w:lang w:val="en" w:eastAsia="zh-CN" w:bidi="ar-SA"/>
        </w:rPr>
        <w:t>”活动，围绕重点产业链产业集群建设，建立完善招商引资项目库，绘制招商地图，加快引进上下游配套企业，培育“链主”企业。创新招商工作方式，用好国内外重要展洽会平台，组织实施自治区重大投资促进活动和招商引资推介会、洽谈会，</w:t>
      </w:r>
      <w:r>
        <w:rPr>
          <w:rFonts w:hint="eastAsia" w:ascii="方正仿宋_GBK" w:hAnsi="方正仿宋_GBK" w:eastAsia="方正仿宋_GBK" w:cs="方正仿宋_GBK"/>
          <w:b w:val="0"/>
          <w:bCs w:val="0"/>
          <w:color w:val="auto"/>
          <w:kern w:val="2"/>
          <w:sz w:val="32"/>
          <w:szCs w:val="32"/>
          <w:u w:val="none" w:color="auto"/>
          <w:lang w:val="en-US" w:eastAsia="zh-CN" w:bidi="ar-SA"/>
        </w:rPr>
        <w:t>力争全年</w:t>
      </w:r>
      <w:r>
        <w:rPr>
          <w:rFonts w:hint="eastAsia" w:ascii="方正仿宋_GBK" w:hAnsi="方正仿宋_GBK" w:eastAsia="方正仿宋_GBK" w:cs="方正仿宋_GBK"/>
          <w:b w:val="0"/>
          <w:bCs w:val="0"/>
          <w:color w:val="auto"/>
          <w:kern w:val="2"/>
          <w:sz w:val="32"/>
          <w:szCs w:val="32"/>
          <w:u w:val="none" w:color="auto"/>
          <w:lang w:val="en" w:eastAsia="zh-CN" w:bidi="ar-SA"/>
        </w:rPr>
        <w:t>招商引资到位资金</w:t>
      </w:r>
      <w:r>
        <w:rPr>
          <w:rFonts w:hint="eastAsia" w:ascii="方正仿宋_GBK" w:hAnsi="方正仿宋_GBK" w:eastAsia="方正仿宋_GBK" w:cs="方正仿宋_GBK"/>
          <w:b w:val="0"/>
          <w:bCs w:val="0"/>
          <w:color w:val="auto"/>
          <w:kern w:val="2"/>
          <w:sz w:val="32"/>
          <w:szCs w:val="32"/>
          <w:u w:val="none" w:color="auto"/>
          <w:lang w:val="en-US" w:eastAsia="zh-CN" w:bidi="ar-SA"/>
        </w:rPr>
        <w:t>3800亿元以上</w:t>
      </w:r>
      <w:r>
        <w:rPr>
          <w:rFonts w:hint="eastAsia" w:ascii="方正仿宋_GBK" w:hAnsi="方正仿宋_GBK" w:eastAsia="方正仿宋_GBK" w:cs="方正仿宋_GBK"/>
          <w:b w:val="0"/>
          <w:bCs w:val="0"/>
          <w:color w:val="auto"/>
          <w:kern w:val="2"/>
          <w:sz w:val="32"/>
          <w:szCs w:val="32"/>
          <w:u w:val="none" w:color="auto"/>
          <w:lang w:val="en"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（二）深化重点领域改革。</w:t>
      </w:r>
      <w:r>
        <w:rPr>
          <w:rFonts w:hint="eastAsia" w:ascii="方正仿宋_GBK" w:hAnsi="方正仿宋_GBK" w:eastAsia="方正仿宋_GBK" w:cs="方正仿宋_GBK"/>
          <w:b w:val="0"/>
          <w:bCs w:val="0"/>
          <w:color w:val="auto"/>
          <w:kern w:val="2"/>
          <w:sz w:val="32"/>
          <w:szCs w:val="32"/>
          <w:u w:val="none" w:color="auto"/>
          <w:lang w:val="en" w:eastAsia="zh-CN" w:bidi="ar-SA"/>
        </w:rPr>
        <w:t>落实好国家新一轮全面深化改革措施。全面规范“综合窗口”运行，推动“一件事一次办”改革线上线下融合，完成帮办代办窗口设立工作，</w:t>
      </w:r>
      <w:r>
        <w:rPr>
          <w:rFonts w:hint="eastAsia" w:ascii="方正仿宋_GBK" w:hAnsi="方正仿宋_GBK" w:eastAsia="方正仿宋_GBK" w:cs="方正仿宋_GBK"/>
          <w:b w:val="0"/>
          <w:bCs w:val="0"/>
          <w:color w:val="auto"/>
          <w:kern w:val="2"/>
          <w:sz w:val="32"/>
          <w:szCs w:val="32"/>
          <w:u w:val="none" w:color="auto"/>
          <w:lang w:val="en-US" w:eastAsia="zh-CN" w:bidi="ar-SA"/>
        </w:rPr>
        <w:t>再</w:t>
      </w:r>
      <w:r>
        <w:rPr>
          <w:rFonts w:hint="eastAsia" w:ascii="方正仿宋_GBK" w:hAnsi="方正仿宋_GBK" w:eastAsia="方正仿宋_GBK" w:cs="方正仿宋_GBK"/>
          <w:b w:val="0"/>
          <w:bCs w:val="0"/>
          <w:color w:val="auto"/>
          <w:kern w:val="2"/>
          <w:sz w:val="32"/>
          <w:szCs w:val="32"/>
          <w:u w:val="none" w:color="auto"/>
          <w:lang w:val="en" w:eastAsia="zh-CN" w:bidi="ar-SA"/>
        </w:rPr>
        <w:t>梳理公布一批高频帮办代办事项。巩固落实“优化职能职责</w:t>
      </w:r>
      <w:r>
        <w:rPr>
          <w:rFonts w:hint="eastAsia" w:ascii="方正仿宋_GBK" w:hAnsi="方正仿宋_GBK" w:eastAsia="方正仿宋_GBK" w:cs="方正仿宋_GBK"/>
          <w:b w:val="0"/>
          <w:bCs w:val="0"/>
          <w:color w:val="auto"/>
          <w:kern w:val="2"/>
          <w:sz w:val="32"/>
          <w:szCs w:val="32"/>
          <w:u w:val="none" w:color="auto"/>
          <w:lang w:val="en-US" w:eastAsia="zh-CN" w:bidi="ar-SA"/>
        </w:rPr>
        <w:t xml:space="preserve">  </w:t>
      </w:r>
      <w:r>
        <w:rPr>
          <w:rFonts w:hint="eastAsia" w:ascii="方正仿宋_GBK" w:hAnsi="方正仿宋_GBK" w:eastAsia="方正仿宋_GBK" w:cs="方正仿宋_GBK"/>
          <w:b w:val="0"/>
          <w:bCs w:val="0"/>
          <w:color w:val="auto"/>
          <w:kern w:val="2"/>
          <w:sz w:val="32"/>
          <w:szCs w:val="32"/>
          <w:u w:val="none" w:color="auto"/>
          <w:lang w:val="en" w:eastAsia="zh-CN" w:bidi="ar-SA"/>
        </w:rPr>
        <w:t>优化工作流程”专项行动成果。组织实施新一轮国企改革专项行动，</w:t>
      </w:r>
      <w:r>
        <w:rPr>
          <w:rFonts w:hint="eastAsia" w:ascii="方正仿宋_GBK" w:hAnsi="方正仿宋_GBK" w:eastAsia="方正仿宋_GBK" w:cs="方正仿宋_GBK"/>
          <w:b w:val="0"/>
          <w:bCs w:val="0"/>
          <w:color w:val="auto"/>
          <w:kern w:val="2"/>
          <w:sz w:val="32"/>
          <w:szCs w:val="32"/>
          <w:u w:val="none" w:color="auto"/>
          <w:lang w:val="en-US" w:eastAsia="zh-CN" w:bidi="ar-SA"/>
        </w:rPr>
        <w:t>深入推进“双百行动”“科改示范行动”等改革示范工程，全面开展一流企业创建，</w:t>
      </w:r>
      <w:r>
        <w:rPr>
          <w:rFonts w:hint="eastAsia" w:ascii="方正仿宋_GBK" w:hAnsi="方正仿宋_GBK" w:eastAsia="方正仿宋_GBK" w:cs="方正仿宋_GBK"/>
          <w:b w:val="0"/>
          <w:bCs w:val="0"/>
          <w:color w:val="auto"/>
          <w:kern w:val="2"/>
          <w:sz w:val="32"/>
          <w:szCs w:val="32"/>
          <w:u w:val="none" w:color="auto"/>
          <w:lang w:val="en" w:eastAsia="zh-CN" w:bidi="ar-SA"/>
        </w:rPr>
        <w:t>制定区属国有资本优化布局方案，推动包头钢铁（集团）公司做大做强，</w:t>
      </w:r>
      <w:r>
        <w:rPr>
          <w:rFonts w:hint="eastAsia" w:ascii="方正仿宋_GBK" w:hAnsi="方正仿宋_GBK" w:eastAsia="方正仿宋_GBK" w:cs="方正仿宋_GBK"/>
          <w:b w:val="0"/>
          <w:bCs w:val="0"/>
          <w:color w:val="auto"/>
          <w:kern w:val="2"/>
          <w:sz w:val="32"/>
          <w:szCs w:val="32"/>
          <w:u w:val="none" w:color="auto"/>
          <w:lang w:val="en-US" w:eastAsia="zh-CN" w:bidi="ar-SA"/>
        </w:rPr>
        <w:t>争取内蒙古</w:t>
      </w:r>
      <w:r>
        <w:rPr>
          <w:rFonts w:hint="eastAsia" w:ascii="方正仿宋_GBK" w:hAnsi="方正仿宋_GBK" w:eastAsia="方正仿宋_GBK" w:cs="方正仿宋_GBK"/>
          <w:b w:val="0"/>
          <w:bCs w:val="0"/>
          <w:color w:val="auto"/>
          <w:kern w:val="2"/>
          <w:sz w:val="32"/>
          <w:szCs w:val="32"/>
          <w:u w:val="none" w:color="auto"/>
          <w:lang w:val="en" w:eastAsia="zh-CN" w:bidi="ar-SA"/>
        </w:rPr>
        <w:t>能源集团有限公司进入“中国企业500强”。</w:t>
      </w:r>
      <w:r>
        <w:rPr>
          <w:rFonts w:hint="eastAsia" w:ascii="方正仿宋_GBK" w:hAnsi="方正仿宋_GBK" w:eastAsia="方正仿宋_GBK" w:cs="方正仿宋_GBK"/>
          <w:b w:val="0"/>
          <w:bCs w:val="0"/>
          <w:color w:val="auto"/>
          <w:kern w:val="2"/>
          <w:sz w:val="32"/>
          <w:szCs w:val="32"/>
          <w:u w:val="none" w:color="auto"/>
          <w:lang w:val="en-US" w:eastAsia="zh-CN" w:bidi="ar-SA"/>
        </w:rPr>
        <w:t>深化农村牧区改革，加强农村牧区土地经营权流转管理和服务，发展多种形式适度规模经营。巩固提升农村牧区集体产权制度改革成果，发展新型农村牧区集体经济。</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（三）加快我国向北开放重要桥头堡</w:t>
      </w: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建设</w:t>
      </w: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w:t>
      </w:r>
      <w:r>
        <w:rPr>
          <w:rFonts w:hint="eastAsia" w:ascii="方正仿宋_GBK" w:hAnsi="方正仿宋_GBK" w:eastAsia="方正仿宋_GBK" w:cs="方正仿宋_GBK"/>
          <w:b w:val="0"/>
          <w:bCs w:val="0"/>
          <w:color w:val="auto"/>
          <w:kern w:val="2"/>
          <w:sz w:val="32"/>
          <w:szCs w:val="32"/>
          <w:u w:val="none" w:color="auto"/>
          <w:lang w:val="en" w:eastAsia="zh-CN" w:bidi="ar-SA"/>
        </w:rPr>
        <w:t>更大力度推动外贸稳规模、优结构，更大力度促进外资稳存量、扩增量，积极推动对外开放向“一带一路”沿线国家延伸，全面加强同各省（区、市）的经济协作，加大吸引和利用外资力度，落实好外资企业国民待遇。</w:t>
      </w:r>
      <w:r>
        <w:rPr>
          <w:rFonts w:hint="eastAsia" w:ascii="方正仿宋_GBK" w:hAnsi="方正仿宋_GBK" w:eastAsia="方正仿宋_GBK" w:cs="方正仿宋_GBK"/>
          <w:b w:val="0"/>
          <w:bCs w:val="0"/>
          <w:color w:val="auto"/>
          <w:kern w:val="2"/>
          <w:sz w:val="32"/>
          <w:szCs w:val="32"/>
          <w:u w:val="none" w:color="auto"/>
          <w:lang w:val="en-US" w:eastAsia="zh-CN" w:bidi="ar-SA"/>
        </w:rPr>
        <w:t>持续推进</w:t>
      </w:r>
      <w:r>
        <w:rPr>
          <w:rFonts w:hint="eastAsia" w:ascii="方正仿宋_GBK" w:hAnsi="方正仿宋_GBK" w:eastAsia="方正仿宋_GBK" w:cs="方正仿宋_GBK"/>
          <w:b w:val="0"/>
          <w:bCs w:val="0"/>
          <w:color w:val="auto"/>
          <w:kern w:val="2"/>
          <w:sz w:val="32"/>
          <w:szCs w:val="32"/>
          <w:u w:val="none" w:color="auto"/>
          <w:lang w:val="en" w:eastAsia="zh-CN" w:bidi="ar-SA"/>
        </w:rPr>
        <w:t>中蒙二连浩特</w:t>
      </w:r>
      <w:r>
        <w:rPr>
          <w:rFonts w:hint="eastAsia" w:ascii="方正仿宋_GBK" w:hAnsi="方正仿宋_GBK" w:eastAsia="方正仿宋_GBK" w:cs="方正仿宋_GBK"/>
          <w:b w:val="0"/>
          <w:bCs w:val="0"/>
          <w:color w:val="auto"/>
          <w:kern w:val="2"/>
          <w:sz w:val="32"/>
          <w:szCs w:val="32"/>
          <w:u w:val="none" w:color="auto"/>
          <w:lang w:val="en-US" w:eastAsia="zh-CN" w:bidi="ar-SA"/>
        </w:rPr>
        <w:t>—</w:t>
      </w:r>
      <w:r>
        <w:rPr>
          <w:rFonts w:hint="eastAsia" w:ascii="方正仿宋_GBK" w:hAnsi="方正仿宋_GBK" w:eastAsia="方正仿宋_GBK" w:cs="方正仿宋_GBK"/>
          <w:b w:val="0"/>
          <w:bCs w:val="0"/>
          <w:color w:val="auto"/>
          <w:kern w:val="2"/>
          <w:sz w:val="32"/>
          <w:szCs w:val="32"/>
          <w:u w:val="none" w:color="auto"/>
          <w:lang w:val="en" w:eastAsia="zh-CN" w:bidi="ar-SA"/>
        </w:rPr>
        <w:t>扎门乌德经济合作区、中国（内蒙古）自由贸易试验区申建。支持跨境电商、市场采购贸易、外贸综合服务等外贸新业态新模式发展，推动</w:t>
      </w:r>
      <w:r>
        <w:rPr>
          <w:rFonts w:hint="eastAsia" w:ascii="方正仿宋_GBK" w:hAnsi="方正仿宋_GBK" w:eastAsia="方正仿宋_GBK" w:cs="方正仿宋_GBK"/>
          <w:b w:val="0"/>
          <w:bCs w:val="0"/>
          <w:color w:val="auto"/>
          <w:kern w:val="2"/>
          <w:sz w:val="32"/>
          <w:szCs w:val="32"/>
          <w:u w:val="none" w:color="auto"/>
          <w:lang w:val="en-US" w:eastAsia="zh-CN" w:bidi="ar-SA"/>
        </w:rPr>
        <w:t>4</w:t>
      </w:r>
      <w:r>
        <w:rPr>
          <w:rFonts w:hint="eastAsia" w:ascii="方正仿宋_GBK" w:hAnsi="方正仿宋_GBK" w:eastAsia="方正仿宋_GBK" w:cs="方正仿宋_GBK"/>
          <w:b w:val="0"/>
          <w:bCs w:val="0"/>
          <w:color w:val="auto"/>
          <w:kern w:val="2"/>
          <w:sz w:val="32"/>
          <w:szCs w:val="32"/>
          <w:u w:val="none" w:color="auto"/>
          <w:lang w:val="en" w:eastAsia="zh-CN" w:bidi="ar-SA"/>
        </w:rPr>
        <w:t>个边民互市贸易区解</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封运营，开展县域外经贸破零增量示范工作，</w:t>
      </w:r>
      <w:r>
        <w:rPr>
          <w:rFonts w:hint="eastAsia" w:ascii="方正仿宋_GBK" w:hAnsi="方正仿宋_GBK" w:eastAsia="方正仿宋_GBK" w:cs="方正仿宋_GBK"/>
          <w:b w:val="0"/>
          <w:bCs w:val="0"/>
          <w:color w:val="auto"/>
          <w:spacing w:val="11"/>
          <w:kern w:val="2"/>
          <w:sz w:val="32"/>
          <w:szCs w:val="32"/>
          <w:u w:val="none" w:color="auto"/>
          <w:lang w:val="en-US" w:eastAsia="zh-CN" w:bidi="ar-SA"/>
        </w:rPr>
        <w:t>力争全年</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进出口贸易总额达到</w:t>
      </w:r>
      <w:r>
        <w:rPr>
          <w:rFonts w:hint="eastAsia" w:ascii="方正仿宋_GBK" w:hAnsi="方正仿宋_GBK" w:eastAsia="方正仿宋_GBK" w:cs="方正仿宋_GBK"/>
          <w:b w:val="0"/>
          <w:bCs w:val="0"/>
          <w:color w:val="auto"/>
          <w:spacing w:val="11"/>
          <w:kern w:val="2"/>
          <w:sz w:val="32"/>
          <w:szCs w:val="32"/>
          <w:u w:val="none" w:color="auto"/>
          <w:lang w:val="en-US" w:eastAsia="zh-CN" w:bidi="ar-SA"/>
        </w:rPr>
        <w:t>1600亿元以上</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。积极扩大先进技术、重要设备、能源资源等产品进口，提升口岸通关效能，大力发展落地加工产业，加强与其他省（区、市）在中欧班列方面的合作，</w:t>
      </w:r>
      <w:r>
        <w:rPr>
          <w:rFonts w:hint="eastAsia" w:ascii="方正仿宋_GBK" w:hAnsi="方正仿宋_GBK" w:eastAsia="方正仿宋_GBK" w:cs="方正仿宋_GBK"/>
          <w:b w:val="0"/>
          <w:bCs w:val="0"/>
          <w:color w:val="auto"/>
          <w:spacing w:val="11"/>
          <w:kern w:val="2"/>
          <w:sz w:val="32"/>
          <w:szCs w:val="32"/>
          <w:u w:val="none" w:color="auto"/>
          <w:lang w:val="en-US" w:eastAsia="zh-CN" w:bidi="ar-SA"/>
        </w:rPr>
        <w:t>力争全</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年口岸货运量增长30%左右，过境中欧班列增长</w:t>
      </w:r>
      <w:r>
        <w:rPr>
          <w:rFonts w:hint="eastAsia" w:ascii="方正仿宋_GBK" w:hAnsi="方正仿宋_GBK" w:eastAsia="方正仿宋_GBK" w:cs="方正仿宋_GBK"/>
          <w:b w:val="0"/>
          <w:bCs w:val="0"/>
          <w:color w:val="auto"/>
          <w:spacing w:val="11"/>
          <w:kern w:val="2"/>
          <w:sz w:val="32"/>
          <w:szCs w:val="32"/>
          <w:u w:val="none" w:color="auto"/>
          <w:lang w:val="en-US" w:eastAsia="zh-CN" w:bidi="ar-SA"/>
        </w:rPr>
        <w:t>7</w:t>
      </w:r>
      <w:r>
        <w:rPr>
          <w:rFonts w:hint="eastAsia" w:ascii="方正仿宋_GBK" w:hAnsi="方正仿宋_GBK" w:eastAsia="方正仿宋_GBK" w:cs="方正仿宋_GBK"/>
          <w:b w:val="0"/>
          <w:bCs w:val="0"/>
          <w:color w:val="auto"/>
          <w:spacing w:val="11"/>
          <w:kern w:val="2"/>
          <w:sz w:val="32"/>
          <w:szCs w:val="32"/>
          <w:u w:val="none" w:color="auto"/>
          <w:lang w:val="en" w:eastAsia="zh-CN" w:bidi="ar-SA"/>
        </w:rPr>
        <w:t>%左右。</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五、全面推进</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科技创新，强化现代化建设人才支撑</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Fonts w:hint="eastAsia" w:ascii="方正仿宋_GBK" w:hAnsi="方正仿宋_GBK" w:eastAsia="方正仿宋_GBK" w:cs="方正仿宋_GBK"/>
          <w:b w:val="0"/>
          <w:bCs w:val="0"/>
          <w:color w:val="auto"/>
          <w:kern w:val="2"/>
          <w:sz w:val="32"/>
          <w:szCs w:val="32"/>
          <w:u w:val="none" w:color="auto"/>
          <w:lang w:val="en-US" w:eastAsia="zh-CN" w:bidi="ar-SA"/>
        </w:rPr>
        <w:t>坚持科技是第一生产力、人才是第一资源、创新是第一动力，有力统筹教育、科技、人才工作，塑造发展新动能新优势。</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（一）加快实施创新驱动发展战略。</w:t>
      </w:r>
      <w:r>
        <w:rPr>
          <w:rFonts w:hint="eastAsia" w:ascii="方正仿宋_GBK" w:hAnsi="方正仿宋_GBK" w:eastAsia="方正仿宋_GBK" w:cs="方正仿宋_GBK"/>
          <w:b w:val="0"/>
          <w:bCs w:val="0"/>
          <w:color w:val="auto"/>
          <w:kern w:val="2"/>
          <w:sz w:val="32"/>
          <w:szCs w:val="32"/>
          <w:u w:val="none" w:color="auto"/>
          <w:lang w:val="en-US" w:eastAsia="zh-CN" w:bidi="ar-SA"/>
        </w:rPr>
        <w:t>深入推动“科技兴蒙”，加快实施科技创新重大示范工程，持续开展有效关键技术攻关，全力打造“科技兴蒙”创新驱动平台和创新促进中心。加快建设巴彦淖尔国家农业高新技术产业示范区、鄂尔多斯国家可持续发展议程创新示范区、国家乳业技术创新中心，推动创建呼包鄂国家自主创新示范区、国家稀土新材料创新中心、草（种）业技术创新中心、怀柔实验室内蒙古基地，鼓励内蒙古科学技术研究院开展创新政策先行先试，支持呼和浩特金山、包头稀土、鄂尔多斯等国家高新区提质增效，争取赤峰国家高新区获批。深化科技体制改革，优化科技资源配置，推广“揭榜挂帅”“赛马制”等新型项目组织方式，推进研发投入攻坚，自治区本级财政安排科技专项资金增长20%。实施创新型企业“双倍增双提升”行动，新增高新技术企业300家、科技型中小企业400家。</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（二）加快建设高质量教育体系。</w:t>
      </w:r>
      <w:r>
        <w:rPr>
          <w:rFonts w:hint="eastAsia" w:ascii="方正仿宋_GBK" w:hAnsi="方正仿宋_GBK" w:eastAsia="方正仿宋_GBK" w:cs="方正仿宋_GBK"/>
          <w:b w:val="0"/>
          <w:bCs w:val="0"/>
          <w:color w:val="auto"/>
          <w:kern w:val="2"/>
          <w:sz w:val="32"/>
          <w:szCs w:val="32"/>
          <w:u w:val="none" w:color="auto"/>
          <w:lang w:val="en-US" w:eastAsia="zh-CN" w:bidi="ar-SA"/>
        </w:rPr>
        <w:t>全面贯彻党的教育方针，落实立德树人根本任务，做好学前教育普及普惠、义务教育优质均衡旗县创建验收工作，推动普通高中多样化特色化发展，建设内蒙古智慧教育平台。实施职业教育“提质培优”行动和“双高双优”计划，推进自治区特色专业试点、“工匠班”计划建设。支持内蒙古大学部区合建和“双一流”建设，推动“一流学科”特色发展，研究出台《关于加强高校有组织科研推动高水平科技自立自强的若干措施》。落实落细“县管校聘”“强师计划”“双师型教师队伍建设”“高校人员总量管理改革”等政策，加强教师队伍建设。</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US"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（三）强化现代化建设人才支撑。</w:t>
      </w:r>
      <w:r>
        <w:rPr>
          <w:rFonts w:hint="eastAsia" w:ascii="方正仿宋_GBK" w:hAnsi="方正仿宋_GBK" w:eastAsia="方正仿宋_GBK" w:cs="方正仿宋_GBK"/>
          <w:b w:val="0"/>
          <w:bCs w:val="0"/>
          <w:color w:val="auto"/>
          <w:kern w:val="2"/>
          <w:sz w:val="32"/>
          <w:szCs w:val="32"/>
          <w:u w:val="none" w:color="auto"/>
          <w:lang w:val="en-US" w:eastAsia="zh-CN" w:bidi="ar-SA"/>
        </w:rPr>
        <w:t>落实高层次人才收入分配政策，充分发挥科技领军人才团队引育、青年科技创新人才培养、“西部之光”等人才培养计划作用，力争全年支持培养院士、杰青人才5名以上，培养青年科技创新后备人才10名左右。加强技能人才队伍建设，实施技术技能人才引育提质工程，开展企业自主职业技能等级认定，推行社会化职业技能等级认定，在试点特级技师基础上探索首席技师评聘，开展自治区第一届技能大奖评选表彰活动。</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加强与中科院、上海交大、钢研总院的合作，实施自治区级国际合作基地培育工程，积极引进国外智力资源和创新成果。</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六、</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着力推进</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城乡融合和区域</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协调发展，全面推进乡村振兴</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64"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立足主体功能区定位，充分发挥各地区比较优势，进一步优化生产力布局，统筹区域协调发展，强化以城带乡促进乡村振兴，构建优势互补、高质量发展的区域经济布局和国土空间体系。</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US" w:eastAsia="zh-CN"/>
        </w:rPr>
        <w:t>（一）统筹区域差异化协调发展。</w:t>
      </w:r>
      <w:r>
        <w:rPr>
          <w:rFonts w:hint="eastAsia" w:ascii="方正仿宋_GBK" w:hAnsi="方正仿宋_GBK" w:eastAsia="方正仿宋_GBK" w:cs="方正仿宋_GBK"/>
          <w:b w:val="0"/>
          <w:bCs w:val="0"/>
          <w:color w:val="auto"/>
          <w:kern w:val="2"/>
          <w:sz w:val="32"/>
          <w:szCs w:val="32"/>
          <w:u w:val="none" w:color="auto"/>
          <w:lang w:val="en-US" w:eastAsia="zh-CN" w:bidi="ar-SA"/>
        </w:rPr>
        <w:t>着力</w:t>
      </w:r>
      <w:r>
        <w:rPr>
          <w:rFonts w:hint="eastAsia" w:ascii="方正仿宋_GBK" w:hAnsi="方正仿宋_GBK" w:eastAsia="方正仿宋_GBK" w:cs="方正仿宋_GBK"/>
          <w:b w:val="0"/>
          <w:bCs w:val="0"/>
          <w:color w:val="auto"/>
          <w:kern w:val="2"/>
          <w:sz w:val="32"/>
          <w:szCs w:val="32"/>
          <w:u w:val="none" w:color="auto"/>
          <w:lang w:val="en" w:eastAsia="zh-CN" w:bidi="ar-SA"/>
        </w:rPr>
        <w:t>推动西部大开发形成新格局、东北全面振兴实现新突破、黄河流域生态保护和高质量发展取得新成效，推进黄河流域生态环境突出问题整改，制定推进呼包鄂乌一体化发展支持举措，支持呼和浩特市高质量发展，建设鄂尔多斯现代煤化工产业示范区，推动赤峰、通辽“双子星座”建设。加强边疆地区建设，深入推进固边兴边富民行动，推动边境地区基础设施一体化建设。开展盟市推动高质量发展综合绩效评价，着力解决发展不平衡不充分问题，引导和促进各盟市结合自身特色实现高质量发展，构建区域协调发展新格局。</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（二）推进以人为核心的新型城镇化。</w:t>
      </w:r>
      <w:r>
        <w:rPr>
          <w:rFonts w:hint="eastAsia" w:ascii="方正仿宋_GBK" w:hAnsi="方正仿宋_GBK" w:eastAsia="方正仿宋_GBK" w:cs="方正仿宋_GBK"/>
          <w:b w:val="0"/>
          <w:bCs w:val="0"/>
          <w:color w:val="auto"/>
          <w:kern w:val="2"/>
          <w:sz w:val="32"/>
          <w:szCs w:val="32"/>
          <w:u w:val="none" w:color="auto"/>
          <w:lang w:val="en" w:eastAsia="zh-CN" w:bidi="ar-SA"/>
        </w:rPr>
        <w:t>大力实施城市更新，继续抓好呼和浩特市国家城市更新试点工作，积极争取国家城市更新试点城市。持续推进城市精细化管理，完成自治区本级城市运行管理服务平台建设。制定完善自治区海绵城市建设相关标准。推进绿色低碳社区、“口袋公园”、城市绿道绿廊建设。鼓励有条件的旗县（市、区）开展城市体检试点，强化城市体检成果运用。持续推进城镇生活垃圾治理和生活污水处理，力争年内具备条件的地级城市基本建成生活垃圾分类处理系统，黄河流域建制镇基本实现生活污水处理设施全覆盖。</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（三）全面推进乡村振兴。</w:t>
      </w:r>
      <w:r>
        <w:rPr>
          <w:rFonts w:hint="eastAsia" w:ascii="方正仿宋_GBK" w:hAnsi="方正仿宋_GBK" w:eastAsia="方正仿宋_GBK" w:cs="方正仿宋_GBK"/>
          <w:b w:val="0"/>
          <w:bCs w:val="0"/>
          <w:color w:val="auto"/>
          <w:kern w:val="2"/>
          <w:sz w:val="32"/>
          <w:szCs w:val="32"/>
          <w:u w:val="none" w:color="auto"/>
          <w:lang w:val="en" w:eastAsia="zh-CN" w:bidi="ar-SA"/>
        </w:rPr>
        <w:t>持续巩固提升“三保障”和饮水安全保障水平，及时消除返贫致贫风险，坚决防止出现规模性返贫。充分发挥产业增收支撑带动作用，中央、自治区财政衔接资金用于产业发展比例不低于60%，鼓励引导脱贫地区发展高质量庭院经济。用足用好稳岗就业措施，确保脱贫人口和监测对象就业规模稳定。</w:t>
      </w:r>
      <w:r>
        <w:rPr>
          <w:rFonts w:hint="eastAsia" w:ascii="方正仿宋_GBK" w:hAnsi="方正仿宋_GBK" w:eastAsia="方正仿宋_GBK" w:cs="方正仿宋_GBK"/>
          <w:b w:val="0"/>
          <w:bCs w:val="0"/>
          <w:color w:val="auto"/>
          <w:kern w:val="2"/>
          <w:sz w:val="32"/>
          <w:szCs w:val="32"/>
          <w:u w:val="none" w:color="auto"/>
          <w:lang w:val="en-US" w:eastAsia="zh-CN" w:bidi="ar-SA"/>
        </w:rPr>
        <w:t>加快建设宜居宜业和美乡村，接续推进农村牧区人居环境整治提升五年行动，因地制宜推进农村牧区卫生厕所改造，完善农村牧区生活垃圾收运处置体系，推进基本公共服务县域统筹。</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七、不断</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增进民生福祉，切实提高人民生活品质</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Fonts w:hint="eastAsia" w:ascii="方正仿宋_GBK" w:hAnsi="方正仿宋_GBK" w:eastAsia="方正仿宋_GBK" w:cs="方正仿宋_GBK"/>
          <w:b w:val="0"/>
          <w:bCs w:val="0"/>
          <w:color w:val="auto"/>
          <w:kern w:val="2"/>
          <w:sz w:val="32"/>
          <w:szCs w:val="32"/>
          <w:u w:val="none" w:color="auto"/>
          <w:lang w:val="en" w:eastAsia="zh-CN" w:bidi="ar-SA"/>
        </w:rPr>
        <w:t>坚持在发展中保障和改善民生，尽力而为、量力而行，实现好、维护好、发展好最广大人民的根本利益。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（一）扎实推进共同富裕。</w:t>
      </w:r>
      <w:r>
        <w:rPr>
          <w:rFonts w:hint="eastAsia" w:ascii="方正仿宋_GBK" w:hAnsi="方正仿宋_GBK" w:eastAsia="方正仿宋_GBK" w:cs="方正仿宋_GBK"/>
          <w:b w:val="0"/>
          <w:bCs w:val="0"/>
          <w:color w:val="auto"/>
          <w:kern w:val="2"/>
          <w:sz w:val="32"/>
          <w:szCs w:val="32"/>
          <w:u w:val="none" w:color="auto"/>
          <w:lang w:val="en" w:eastAsia="zh-CN" w:bidi="ar-SA"/>
        </w:rPr>
        <w:t>不断拓宽城乡居民收入渠道，健全各类生产要素由市场决定报酬机制、工资合理增长机制、最低工资标准调整机制和工资支付保障机制，落实初次分配、再分配、三次分配协调配套的基础性制度安排，持续提高低收入群体收入，扩大中等收入群体，规范财富积累机制。健全公务员工资正常增长机制，完善事业单位工资收入分配政策</w:t>
      </w:r>
      <w:r>
        <w:rPr>
          <w:rFonts w:hint="eastAsia" w:ascii="方正仿宋_GBK" w:hAnsi="方正仿宋_GBK" w:eastAsia="方正仿宋_GBK" w:cs="方正仿宋_GBK"/>
          <w:b w:val="0"/>
          <w:bCs w:val="0"/>
          <w:color w:val="auto"/>
          <w:kern w:val="2"/>
          <w:sz w:val="32"/>
          <w:szCs w:val="32"/>
          <w:u w:val="none" w:color="auto"/>
          <w:lang w:val="en-US" w:eastAsia="zh-CN" w:bidi="ar-SA"/>
        </w:rPr>
        <w:t>和</w:t>
      </w:r>
      <w:r>
        <w:rPr>
          <w:rFonts w:hint="eastAsia" w:ascii="方正仿宋_GBK" w:hAnsi="方正仿宋_GBK" w:eastAsia="方正仿宋_GBK" w:cs="方正仿宋_GBK"/>
          <w:b w:val="0"/>
          <w:bCs w:val="0"/>
          <w:color w:val="auto"/>
          <w:kern w:val="2"/>
          <w:sz w:val="32"/>
          <w:szCs w:val="32"/>
          <w:u w:val="none" w:color="auto"/>
          <w:lang w:val="en" w:eastAsia="zh-CN" w:bidi="ar-SA"/>
        </w:rPr>
        <w:t>企业工资指导线制度，科学合理核定事业单位绩效工资，全面推进公立医院薪酬制度改革，建立工资待遇核查的长效工作机制。</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（二）落实落细就业优先政策。</w:t>
      </w:r>
      <w:r>
        <w:rPr>
          <w:rFonts w:hint="eastAsia" w:ascii="方正仿宋_GBK" w:hAnsi="方正仿宋_GBK" w:eastAsia="方正仿宋_GBK" w:cs="方正仿宋_GBK"/>
          <w:b w:val="0"/>
          <w:bCs w:val="0"/>
          <w:color w:val="auto"/>
          <w:kern w:val="2"/>
          <w:sz w:val="32"/>
          <w:szCs w:val="32"/>
          <w:u w:val="none" w:color="auto"/>
          <w:lang w:val="en" w:eastAsia="zh-CN" w:bidi="ar-SA"/>
        </w:rPr>
        <w:t>深化就业扩容提质工程“五项行动”，支持重点群体就业，把促进青年特别是高校毕业生就业工作摆在更加突出的位置，加强新就业形态劳动者权益保障，促进农牧民工特别是脱贫人口转移就业，</w:t>
      </w:r>
      <w:r>
        <w:rPr>
          <w:rFonts w:hint="eastAsia" w:ascii="方正仿宋_GBK" w:hAnsi="方正仿宋_GBK" w:eastAsia="方正仿宋_GBK" w:cs="方正仿宋_GBK"/>
          <w:b w:val="0"/>
          <w:bCs w:val="0"/>
          <w:color w:val="auto"/>
          <w:kern w:val="2"/>
          <w:sz w:val="32"/>
          <w:szCs w:val="32"/>
          <w:u w:val="none" w:color="auto"/>
          <w:lang w:val="en-US" w:eastAsia="zh-CN" w:bidi="ar-SA"/>
        </w:rPr>
        <w:t>全年</w:t>
      </w:r>
      <w:r>
        <w:rPr>
          <w:rFonts w:hint="eastAsia" w:ascii="方正仿宋_GBK" w:hAnsi="方正仿宋_GBK" w:eastAsia="方正仿宋_GBK" w:cs="方正仿宋_GBK"/>
          <w:b w:val="0"/>
          <w:bCs w:val="0"/>
          <w:color w:val="auto"/>
          <w:kern w:val="2"/>
          <w:sz w:val="32"/>
          <w:szCs w:val="32"/>
          <w:u w:val="none" w:color="auto"/>
          <w:lang w:val="en" w:eastAsia="zh-CN" w:bidi="ar-SA"/>
        </w:rPr>
        <w:t>实现城镇新增就业20万人</w:t>
      </w:r>
      <w:r>
        <w:rPr>
          <w:rFonts w:hint="eastAsia" w:ascii="方正仿宋_GBK" w:hAnsi="方正仿宋_GBK" w:eastAsia="方正仿宋_GBK" w:cs="方正仿宋_GBK"/>
          <w:b w:val="0"/>
          <w:bCs w:val="0"/>
          <w:color w:val="auto"/>
          <w:kern w:val="2"/>
          <w:sz w:val="32"/>
          <w:szCs w:val="32"/>
          <w:u w:val="none" w:color="auto"/>
          <w:lang w:val="en-US" w:eastAsia="zh-CN" w:bidi="ar-SA"/>
        </w:rPr>
        <w:t>以上</w:t>
      </w:r>
      <w:r>
        <w:rPr>
          <w:rFonts w:hint="eastAsia" w:ascii="方正仿宋_GBK" w:hAnsi="方正仿宋_GBK" w:eastAsia="方正仿宋_GBK" w:cs="方正仿宋_GBK"/>
          <w:b w:val="0"/>
          <w:bCs w:val="0"/>
          <w:color w:val="auto"/>
          <w:kern w:val="2"/>
          <w:sz w:val="32"/>
          <w:szCs w:val="32"/>
          <w:u w:val="none" w:color="auto"/>
          <w:lang w:val="en" w:eastAsia="zh-CN" w:bidi="ar-SA"/>
        </w:rPr>
        <w:t>，农村牧区劳动力转移就业240万人。完善就业公共服务体系，强化高校毕业生、退役军人、农村牧区劳动力、就业困难人员、城镇失业人员等重点群体就业帮扶，健全终身职业技能培训制度，</w:t>
      </w:r>
      <w:r>
        <w:rPr>
          <w:rFonts w:hint="eastAsia" w:ascii="方正仿宋_GBK" w:hAnsi="方正仿宋_GBK" w:eastAsia="方正仿宋_GBK" w:cs="方正仿宋_GBK"/>
          <w:b w:val="0"/>
          <w:bCs w:val="0"/>
          <w:color w:val="auto"/>
          <w:kern w:val="2"/>
          <w:sz w:val="32"/>
          <w:szCs w:val="32"/>
          <w:u w:val="none" w:color="auto"/>
          <w:lang w:val="en-US" w:eastAsia="zh-CN" w:bidi="ar-SA"/>
        </w:rPr>
        <w:t>全年</w:t>
      </w:r>
      <w:r>
        <w:rPr>
          <w:rFonts w:hint="eastAsia" w:ascii="方正仿宋_GBK" w:hAnsi="方正仿宋_GBK" w:eastAsia="方正仿宋_GBK" w:cs="方正仿宋_GBK"/>
          <w:b w:val="0"/>
          <w:bCs w:val="0"/>
          <w:color w:val="auto"/>
          <w:kern w:val="2"/>
          <w:sz w:val="32"/>
          <w:szCs w:val="32"/>
          <w:u w:val="none" w:color="auto"/>
          <w:lang w:val="en" w:eastAsia="zh-CN" w:bidi="ar-SA"/>
        </w:rPr>
        <w:t>培训25万人次以上。</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（三）健全多层次社会保障体系。</w:t>
      </w:r>
      <w:r>
        <w:rPr>
          <w:rFonts w:hint="eastAsia" w:ascii="方正仿宋_GBK" w:hAnsi="方正仿宋_GBK" w:eastAsia="方正仿宋_GBK" w:cs="方正仿宋_GBK"/>
          <w:b w:val="0"/>
          <w:bCs w:val="0"/>
          <w:color w:val="auto"/>
          <w:kern w:val="2"/>
          <w:sz w:val="32"/>
          <w:szCs w:val="32"/>
          <w:u w:val="none" w:color="auto"/>
          <w:lang w:val="en" w:eastAsia="zh-CN" w:bidi="ar-SA"/>
        </w:rPr>
        <w:t>深入推进全民参保计划，基本医疗保险参保率稳定在</w:t>
      </w:r>
      <w:r>
        <w:rPr>
          <w:rFonts w:hint="eastAsia" w:ascii="方正仿宋_GBK" w:hAnsi="方正仿宋_GBK" w:eastAsia="方正仿宋_GBK" w:cs="方正仿宋_GBK"/>
          <w:b w:val="0"/>
          <w:bCs w:val="0"/>
          <w:color w:val="auto"/>
          <w:kern w:val="2"/>
          <w:sz w:val="32"/>
          <w:szCs w:val="32"/>
          <w:u w:val="none" w:color="auto"/>
          <w:lang w:val="en-US" w:eastAsia="zh-CN" w:bidi="ar-SA"/>
        </w:rPr>
        <w:t>95%以上，基本养老保险</w:t>
      </w:r>
      <w:r>
        <w:rPr>
          <w:rFonts w:hint="eastAsia" w:ascii="方正仿宋_GBK" w:hAnsi="方正仿宋_GBK" w:eastAsia="方正仿宋_GBK" w:cs="方正仿宋_GBK"/>
          <w:b w:val="0"/>
          <w:bCs w:val="0"/>
          <w:color w:val="auto"/>
          <w:kern w:val="2"/>
          <w:sz w:val="32"/>
          <w:szCs w:val="32"/>
          <w:u w:val="none" w:color="auto"/>
          <w:lang w:val="en" w:eastAsia="zh-CN" w:bidi="ar-SA"/>
        </w:rPr>
        <w:t>参保人数新增</w:t>
      </w:r>
      <w:r>
        <w:rPr>
          <w:rFonts w:hint="eastAsia" w:ascii="方正仿宋_GBK" w:hAnsi="方正仿宋_GBK" w:eastAsia="方正仿宋_GBK" w:cs="方正仿宋_GBK"/>
          <w:b w:val="0"/>
          <w:bCs w:val="0"/>
          <w:color w:val="auto"/>
          <w:kern w:val="2"/>
          <w:sz w:val="32"/>
          <w:szCs w:val="32"/>
          <w:u w:val="none" w:color="auto"/>
          <w:lang w:val="en-US" w:eastAsia="zh-CN" w:bidi="ar-SA"/>
        </w:rPr>
        <w:t>50</w:t>
      </w:r>
      <w:r>
        <w:rPr>
          <w:rFonts w:hint="eastAsia" w:ascii="方正仿宋_GBK" w:hAnsi="方正仿宋_GBK" w:eastAsia="方正仿宋_GBK" w:cs="方正仿宋_GBK"/>
          <w:b w:val="0"/>
          <w:bCs w:val="0"/>
          <w:color w:val="auto"/>
          <w:kern w:val="2"/>
          <w:sz w:val="32"/>
          <w:szCs w:val="32"/>
          <w:u w:val="none" w:color="auto"/>
          <w:lang w:val="en" w:eastAsia="zh-CN" w:bidi="ar-SA"/>
        </w:rPr>
        <w:t>万人。落实企业职工基本养老保险全国统筹，推进和完善基本医疗保险、失业保险、工伤保险自治区统筹，在先行城市实施个人养老金制度。强化基金预算管理，压实缺口分担、调标补助和自行出台政策导致基金减收增支弥补责任。完善基本生活救助、专项社会救助、急难社会救助等制度，持续推进覆盖全面、分层分类、综合高效的社会救助体系建设。积极应对人口老龄化少子化，推动落实养老服务清单，加快构建基本养老服务体系。保障妇女儿童合法权益，完善生育支持政策体系，</w:t>
      </w:r>
      <w:r>
        <w:rPr>
          <w:rFonts w:hint="eastAsia" w:ascii="方正仿宋_GBK" w:hAnsi="方正仿宋_GBK" w:eastAsia="方正仿宋_GBK" w:cs="方正仿宋_GBK"/>
          <w:b w:val="0"/>
          <w:bCs w:val="0"/>
          <w:color w:val="auto"/>
          <w:spacing w:val="0"/>
          <w:kern w:val="2"/>
          <w:sz w:val="32"/>
          <w:szCs w:val="32"/>
          <w:u w:val="none" w:color="auto"/>
          <w:lang w:val="en" w:eastAsia="zh-CN" w:bidi="ar-SA"/>
        </w:rPr>
        <w:t>修订《内蒙古自治区未成年人保护条例》，</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全面提升儿童福利机构标准化规范化管理服务水平。发展残疾人、人道公益等事业，</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精准</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管理残疾人两项补贴。切实做好退役军人就业安置、优抚褒扬和权益保障</w:t>
      </w:r>
      <w:r>
        <w:rPr>
          <w:rFonts w:hint="eastAsia" w:ascii="方正仿宋_GBK" w:hAnsi="方正仿宋_GBK" w:eastAsia="方正仿宋_GBK" w:cs="方正仿宋_GBK"/>
          <w:b w:val="0"/>
          <w:bCs w:val="0"/>
          <w:color w:val="auto"/>
          <w:kern w:val="2"/>
          <w:sz w:val="32"/>
          <w:szCs w:val="32"/>
          <w:u w:val="none" w:color="auto"/>
          <w:lang w:val="en" w:eastAsia="zh-CN" w:bidi="ar-SA"/>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autoSpaceDE/>
        <w:autoSpaceDN/>
        <w:bidi w:val="0"/>
        <w:adjustRightInd w:val="0"/>
        <w:snapToGrid w:val="0"/>
        <w:spacing w:before="0" w:beforeAutospacing="0" w:after="0" w:afterAutospacing="0" w:line="580" w:lineRule="exact"/>
        <w:ind w:left="0" w:leftChars="0" w:right="0" w:firstLine="640" w:firstLineChars="200"/>
        <w:jc w:val="both"/>
        <w:textAlignment w:val="baseline"/>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（四）不断提升公共服务水平。</w:t>
      </w:r>
      <w:r>
        <w:rPr>
          <w:rFonts w:hint="eastAsia" w:ascii="方正仿宋_GBK" w:hAnsi="方正仿宋_GBK" w:eastAsia="方正仿宋_GBK" w:cs="方正仿宋_GBK"/>
          <w:b w:val="0"/>
          <w:bCs w:val="0"/>
          <w:color w:val="auto"/>
          <w:kern w:val="2"/>
          <w:sz w:val="32"/>
          <w:szCs w:val="32"/>
          <w:u w:val="none" w:color="auto"/>
          <w:lang w:val="en" w:eastAsia="zh-CN" w:bidi="ar-SA"/>
        </w:rPr>
        <w:t>坚持依法行政，强化基本公共服务，支持引导社会力量增加多元供给。持续提升统编教材教学质量、推广普及国家通用语言文字工作水平和“双减”工作成效。深入实施健康内蒙古17项专项行动，推动公立医院高质量发展，推进国家区域医疗中心建设，推动将方舱医院改造为亚定点医院，健全完善疾控网络、管理体系和运行机制，深化医保支付方式改革，优化异地就医结算。加大文化惠民力度，围绕宣传贯彻党的二十大精神，做好主题性文艺创作、演出演播、展示展览等工作，组织开展乌兰牧骑巡回演出活动，开展“百团千场下基层”等系列文化惠民演出1万场左右。积极发展体育事业，创建国家级体育产业基地、体育旅游精品项目，筹备举办2024年第十四届全国冬季运动会。</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pP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US" w:eastAsia="zh-CN"/>
        </w:rPr>
        <w:t>八、</w:t>
      </w:r>
      <w:r>
        <w:rPr>
          <w:rStyle w:val="19"/>
          <w:rFonts w:hint="eastAsia" w:ascii="方正黑体_GBK" w:hAnsi="方正黑体_GBK" w:eastAsia="方正黑体_GBK" w:cs="方正黑体_GBK"/>
          <w:b w:val="0"/>
          <w:bCs w:val="0"/>
          <w:i w:val="0"/>
          <w:caps w:val="0"/>
          <w:color w:val="auto"/>
          <w:spacing w:val="0"/>
          <w:w w:val="100"/>
          <w:sz w:val="32"/>
          <w:szCs w:val="32"/>
          <w:u w:val="none" w:color="auto"/>
          <w:lang w:val="en" w:eastAsia="zh-CN"/>
        </w:rPr>
        <w:t>统筹发展和安全，筑牢祖国北疆安全稳定屏障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US" w:eastAsia="zh-CN" w:bidi="ar-SA"/>
        </w:rPr>
      </w:pPr>
      <w:r>
        <w:rPr>
          <w:rFonts w:hint="eastAsia" w:ascii="方正仿宋_GBK" w:hAnsi="方正仿宋_GBK" w:eastAsia="方正仿宋_GBK" w:cs="方正仿宋_GBK"/>
          <w:b w:val="0"/>
          <w:bCs w:val="0"/>
          <w:color w:val="auto"/>
          <w:kern w:val="2"/>
          <w:sz w:val="32"/>
          <w:szCs w:val="32"/>
          <w:u w:val="none" w:color="auto"/>
          <w:lang w:val="en-US" w:eastAsia="zh-CN" w:bidi="ar-SA"/>
        </w:rPr>
        <w:t>坚持总体国家安全观，稳妥处置化解重大风险隐患，维护经济金融和社会大局稳定。</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（一）更好统筹疫情防控和经济社会发展。</w:t>
      </w:r>
      <w:r>
        <w:rPr>
          <w:rFonts w:hint="eastAsia" w:ascii="方正仿宋_GBK" w:hAnsi="方正仿宋_GBK" w:eastAsia="方正仿宋_GBK" w:cs="方正仿宋_GBK"/>
          <w:b w:val="0"/>
          <w:bCs w:val="0"/>
          <w:color w:val="auto"/>
          <w:kern w:val="2"/>
          <w:sz w:val="32"/>
          <w:szCs w:val="32"/>
          <w:u w:val="none" w:color="auto"/>
          <w:lang w:val="en" w:eastAsia="zh-CN" w:bidi="ar-SA"/>
        </w:rPr>
        <w:t>落实新阶段新型冠状病毒感染疫情防控各项举措，将疫情防控的工作重心从防感染转到保健康、防重症上来，平稳有序实施“乙类乙管”，提升基层医疗卫生机构服务能力，统筹做好疫情防控、新冠患者救治和日常医疗服务，加强全人群免疫接种，做好治疗药物和医疗资源准备，保障好因疫因灾遇困群众和老弱病残等特殊群体的基本生活，确保平稳转段和社会秩序稳定。</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（二）防范化解财政领域风险。</w:t>
      </w:r>
      <w:r>
        <w:rPr>
          <w:rFonts w:hint="eastAsia" w:ascii="方正仿宋_GBK" w:hAnsi="方正仿宋_GBK" w:eastAsia="方正仿宋_GBK" w:cs="方正仿宋_GBK"/>
          <w:b w:val="0"/>
          <w:bCs w:val="0"/>
          <w:color w:val="auto"/>
          <w:kern w:val="2"/>
          <w:sz w:val="32"/>
          <w:szCs w:val="32"/>
          <w:u w:val="none" w:color="auto"/>
          <w:lang w:val="en" w:eastAsia="zh-CN" w:bidi="ar-SA"/>
        </w:rPr>
        <w:t>在有效支持高质量发展中保障财政可持续和政府债务风险可控。落实过“紧日子”思想，坚决遏制增量、化解存量，确保完成年度化债任务。继续实施好“四个一批”化债措施，帮助基层缓释偿债压力、降低债务风险，坚决兜住“三保”底线。健全地方人民政府依法适度举债机制，加强风险评估预警结果应用。完善财政资金直达机制，加强资金调度和库款监测。</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（三）防止形成区域性系统性金融风险。</w:t>
      </w:r>
      <w:r>
        <w:rPr>
          <w:rFonts w:hint="eastAsia" w:ascii="方正仿宋_GBK" w:hAnsi="方正仿宋_GBK" w:eastAsia="方正仿宋_GBK" w:cs="方正仿宋_GBK"/>
          <w:b w:val="0"/>
          <w:bCs w:val="0"/>
          <w:color w:val="auto"/>
          <w:kern w:val="2"/>
          <w:sz w:val="32"/>
          <w:szCs w:val="32"/>
          <w:u w:val="none" w:color="auto"/>
          <w:lang w:val="en" w:eastAsia="zh-CN" w:bidi="ar-SA"/>
        </w:rPr>
        <w:t>完善地方各级党政主要领导负责的重大风险处置机制，压实各方责任，研究制定化解风险的政策，做好风险应急处置预案，持续推进高风险机构化险、城市商业银行和农村信用社改革，多渠道补充地方金融机构资本金，把不良贷款率稳定控制在较低水平。严厉打击非法金融活动，加强资本市场和债券风险防控。</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（四）确保房地产市场平稳发展。</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扎实做好保交楼、保民生</w:t>
      </w:r>
      <w:r>
        <w:rPr>
          <w:rFonts w:hint="eastAsia" w:ascii="方正仿宋_GBK" w:hAnsi="方正仿宋_GBK" w:eastAsia="方正仿宋_GBK" w:cs="方正仿宋_GBK"/>
          <w:b w:val="0"/>
          <w:bCs w:val="0"/>
          <w:color w:val="auto"/>
          <w:kern w:val="2"/>
          <w:sz w:val="32"/>
          <w:szCs w:val="32"/>
          <w:u w:val="none" w:color="auto"/>
          <w:lang w:val="en" w:eastAsia="zh-CN" w:bidi="ar-SA"/>
        </w:rPr>
        <w:t>、保稳定各项工作，满足行业合理融资需求，有效防范化解优质头部房企风险。因城施策，落实支持刚性和改善性住房需求政策措施，解决好新市民、青年人等住房问题，探索长租房市场建设，推动房地产业向新发展模式平稳过渡。</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建设保障性租赁住房1</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.1</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万套，实施棚户区改造1</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.5</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万套，改造城镇老旧小区</w:t>
      </w:r>
      <w:r>
        <w:rPr>
          <w:rFonts w:hint="eastAsia" w:ascii="方正仿宋_GBK" w:hAnsi="方正仿宋_GBK" w:eastAsia="方正仿宋_GBK" w:cs="方正仿宋_GBK"/>
          <w:b w:val="0"/>
          <w:bCs w:val="0"/>
          <w:color w:val="auto"/>
          <w:spacing w:val="6"/>
          <w:kern w:val="2"/>
          <w:sz w:val="32"/>
          <w:szCs w:val="32"/>
          <w:u w:val="none" w:color="auto"/>
          <w:lang w:val="en-US" w:eastAsia="zh-CN" w:bidi="ar-SA"/>
        </w:rPr>
        <w:t>1602个</w:t>
      </w:r>
      <w:r>
        <w:rPr>
          <w:rFonts w:hint="eastAsia" w:ascii="方正仿宋_GBK" w:hAnsi="方正仿宋_GBK" w:eastAsia="方正仿宋_GBK" w:cs="方正仿宋_GBK"/>
          <w:b w:val="0"/>
          <w:bCs w:val="0"/>
          <w:color w:val="auto"/>
          <w:spacing w:val="6"/>
          <w:kern w:val="2"/>
          <w:sz w:val="32"/>
          <w:szCs w:val="32"/>
          <w:u w:val="none" w:color="auto"/>
          <w:lang w:val="en" w:eastAsia="zh-CN" w:bidi="ar-SA"/>
        </w:rPr>
        <w:t>。着力解决房地产历史遗留问题，力争入住难、回迁难问题全部销号</w:t>
      </w:r>
      <w:r>
        <w:rPr>
          <w:rFonts w:hint="eastAsia" w:ascii="方正仿宋_GBK" w:hAnsi="方正仿宋_GBK" w:eastAsia="方正仿宋_GBK" w:cs="方正仿宋_GBK"/>
          <w:b w:val="0"/>
          <w:bCs w:val="0"/>
          <w:color w:val="auto"/>
          <w:kern w:val="2"/>
          <w:sz w:val="32"/>
          <w:szCs w:val="32"/>
          <w:u w:val="none" w:color="auto"/>
          <w:lang w:val="en" w:eastAsia="zh-CN" w:bidi="ar-SA"/>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u w:val="none" w:color="auto"/>
          <w:lang w:val="en" w:eastAsia="zh-CN" w:bidi="ar-SA"/>
        </w:rPr>
      </w:pPr>
      <w:r>
        <w:rPr>
          <w:rStyle w:val="19"/>
          <w:rFonts w:hint="eastAsia" w:ascii="方正楷体_GBK" w:hAnsi="方正楷体_GBK" w:eastAsia="方正楷体_GBK" w:cs="方正楷体_GBK"/>
          <w:b w:val="0"/>
          <w:bCs w:val="0"/>
          <w:i w:val="0"/>
          <w:caps w:val="0"/>
          <w:color w:val="auto"/>
          <w:spacing w:val="0"/>
          <w:w w:val="100"/>
          <w:sz w:val="32"/>
          <w:szCs w:val="32"/>
          <w:u w:val="none" w:color="auto"/>
          <w:lang w:val="en" w:eastAsia="zh-CN"/>
        </w:rPr>
        <w:t>（五）建设更高水平的平安内蒙古。</w:t>
      </w:r>
      <w:r>
        <w:rPr>
          <w:rFonts w:hint="eastAsia" w:ascii="方正仿宋_GBK" w:hAnsi="方正仿宋_GBK" w:eastAsia="方正仿宋_GBK" w:cs="方正仿宋_GBK"/>
          <w:b w:val="0"/>
          <w:bCs w:val="0"/>
          <w:i w:val="0"/>
          <w:caps w:val="0"/>
          <w:color w:val="auto"/>
          <w:spacing w:val="0"/>
          <w:w w:val="100"/>
          <w:sz w:val="32"/>
          <w:szCs w:val="32"/>
          <w:highlight w:val="none"/>
          <w:u w:val="none" w:color="auto"/>
          <w:lang w:val="en" w:eastAsia="zh-CN"/>
        </w:rPr>
        <w:t>铸</w:t>
      </w:r>
      <w:r>
        <w:rPr>
          <w:rFonts w:hint="eastAsia" w:ascii="方正仿宋_GBK" w:hAnsi="方正仿宋_GBK" w:eastAsia="方正仿宋_GBK" w:cs="方正仿宋_GBK"/>
          <w:b w:val="0"/>
          <w:bCs w:val="0"/>
          <w:color w:val="auto"/>
          <w:kern w:val="2"/>
          <w:sz w:val="32"/>
          <w:szCs w:val="32"/>
          <w:u w:val="none" w:color="auto"/>
          <w:lang w:val="en" w:eastAsia="zh-CN" w:bidi="ar-SA"/>
        </w:rPr>
        <w:t>牢中华民族共同体意识，全方位建设“模范自治区”。推进基层应急管理体系和能力建设，提升战略物资储备保障能力。加强重点领域安全监管，持续</w:t>
      </w:r>
      <w:r>
        <w:rPr>
          <w:rFonts w:hint="eastAsia" w:ascii="方正仿宋_GBK" w:hAnsi="方正仿宋_GBK" w:eastAsia="方正仿宋_GBK" w:cs="方正仿宋_GBK"/>
          <w:b w:val="0"/>
          <w:bCs w:val="0"/>
          <w:color w:val="auto"/>
          <w:kern w:val="2"/>
          <w:sz w:val="32"/>
          <w:szCs w:val="32"/>
          <w:u w:val="none" w:color="auto"/>
          <w:lang w:val="en-US" w:eastAsia="zh-CN" w:bidi="ar-SA"/>
        </w:rPr>
        <w:t>开展</w:t>
      </w:r>
      <w:r>
        <w:rPr>
          <w:rFonts w:hint="eastAsia" w:ascii="方正仿宋_GBK" w:hAnsi="方正仿宋_GBK" w:eastAsia="方正仿宋_GBK" w:cs="方正仿宋_GBK"/>
          <w:b w:val="0"/>
          <w:bCs w:val="0"/>
          <w:color w:val="auto"/>
          <w:kern w:val="2"/>
          <w:sz w:val="32"/>
          <w:szCs w:val="32"/>
          <w:u w:val="none" w:color="auto"/>
          <w:lang w:val="en" w:eastAsia="zh-CN" w:bidi="ar-SA"/>
        </w:rPr>
        <w:t>安全生产专项整治，切实防范重大安全事故发生。着力稳物价，强化市场保供稳价，及时缓解结构性物价上涨给部分困难群众带来的影响，加强煤电油气运调节。</w:t>
      </w:r>
      <w:r>
        <w:rPr>
          <w:rFonts w:hint="eastAsia" w:ascii="方正仿宋_GBK" w:hAnsi="方正仿宋_GBK" w:eastAsia="方正仿宋_GBK" w:cs="方正仿宋_GBK"/>
          <w:b w:val="0"/>
          <w:bCs w:val="0"/>
          <w:color w:val="auto"/>
          <w:kern w:val="2"/>
          <w:sz w:val="32"/>
          <w:szCs w:val="32"/>
          <w:u w:val="none" w:color="auto"/>
          <w:lang w:val="en-US" w:eastAsia="zh-CN" w:bidi="ar-SA"/>
        </w:rPr>
        <w:t>稳妥</w:t>
      </w:r>
      <w:r>
        <w:rPr>
          <w:rFonts w:hint="eastAsia" w:ascii="方正仿宋_GBK" w:hAnsi="方正仿宋_GBK" w:eastAsia="方正仿宋_GBK" w:cs="方正仿宋_GBK"/>
          <w:b w:val="0"/>
          <w:bCs w:val="0"/>
          <w:color w:val="auto"/>
          <w:kern w:val="2"/>
          <w:sz w:val="32"/>
          <w:szCs w:val="32"/>
          <w:u w:val="none" w:color="auto"/>
          <w:lang w:val="en" w:eastAsia="zh-CN" w:bidi="ar-SA"/>
        </w:rPr>
        <w:t>解决好群众信访问题，扎实推进信访积案化解。深入开展各类专项整治，全力保障人民群众生命财产安全。</w:t>
      </w:r>
    </w:p>
    <w:p>
      <w:pPr>
        <w:ind w:firstLine="600"/>
        <w:rPr>
          <w:rFonts w:hint="eastAsia" w:eastAsia="仿宋_GB2312"/>
          <w:sz w:val="21"/>
          <w:szCs w:val="21"/>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3"/>
        <w:ind w:left="0" w:leftChars="0" w:firstLine="0" w:firstLineChars="0"/>
        <w:rPr>
          <w:rFonts w:hint="eastAsia"/>
        </w:rPr>
      </w:pPr>
    </w:p>
    <w:p>
      <w:pPr>
        <w:pStyle w:val="2"/>
        <w:rPr>
          <w:rFonts w:hint="eastAsia"/>
          <w:sz w:val="21"/>
          <w:szCs w:val="21"/>
        </w:rPr>
      </w:pPr>
    </w:p>
    <w:p>
      <w:pPr>
        <w:pStyle w:val="3"/>
        <w:rPr>
          <w:rFonts w:hint="eastAsia"/>
          <w:sz w:val="21"/>
          <w:szCs w:val="21"/>
        </w:rPr>
      </w:pPr>
    </w:p>
    <w:p>
      <w:pPr>
        <w:pStyle w:val="3"/>
        <w:rPr>
          <w:rFonts w:hint="eastAsia"/>
          <w:sz w:val="21"/>
          <w:szCs w:val="21"/>
        </w:rPr>
      </w:pPr>
    </w:p>
    <w:p>
      <w:pPr>
        <w:pStyle w:val="3"/>
        <w:rPr>
          <w:rFonts w:hint="eastAsia"/>
          <w:sz w:val="21"/>
          <w:szCs w:val="21"/>
        </w:rPr>
      </w:pPr>
    </w:p>
    <w:p>
      <w:pPr>
        <w:pStyle w:val="3"/>
        <w:rPr>
          <w:rFonts w:hint="eastAsia"/>
          <w:sz w:val="21"/>
          <w:szCs w:val="21"/>
        </w:rPr>
      </w:pPr>
    </w:p>
    <w:p>
      <w:pPr>
        <w:pStyle w:val="3"/>
        <w:rPr>
          <w:rFonts w:hint="eastAsia"/>
          <w:sz w:val="21"/>
          <w:szCs w:val="21"/>
        </w:rPr>
      </w:pPr>
    </w:p>
    <w:p>
      <w:pPr>
        <w:pStyle w:val="3"/>
        <w:rPr>
          <w:rFonts w:hint="eastAsia"/>
          <w:sz w:val="21"/>
          <w:szCs w:val="21"/>
        </w:rPr>
      </w:pPr>
    </w:p>
    <w:p>
      <w:pPr>
        <w:pStyle w:val="5"/>
        <w:tabs>
          <w:tab w:val="left" w:pos="7560"/>
        </w:tabs>
        <w:wordWrap w:val="0"/>
        <w:ind w:left="4452" w:leftChars="2058" w:hanging="130" w:hangingChars="62"/>
        <w:jc w:val="right"/>
        <w:rPr>
          <w:rFonts w:hint="eastAsia" w:ascii="黑体" w:eastAsia="黑体"/>
        </w:rPr>
      </w:pPr>
      <w:r>
        <w:rPr>
          <w:rFonts w:hint="eastAsia" w:ascii="黑体" w:eastAsia="黑体"/>
          <w:sz w:val="21"/>
          <w:szCs w:val="21"/>
        </w:rPr>
        <w:t xml:space="preserve">      </w:t>
      </w:r>
      <w:r>
        <w:rPr>
          <w:rFonts w:hint="eastAsia" w:ascii="黑体" w:eastAsia="黑体"/>
        </w:rPr>
        <w:t xml:space="preserve">  </w:t>
      </w:r>
    </w:p>
    <w:tbl>
      <w:tblPr>
        <w:tblStyle w:val="9"/>
        <w:tblW w:w="8968"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68"/>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8"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68962"/>
    <w:multiLevelType w:val="singleLevel"/>
    <w:tmpl w:val="FFE689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2EFD17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18D6"/>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30C5A8C"/>
    <w:rsid w:val="043D4CEA"/>
    <w:rsid w:val="04D871BC"/>
    <w:rsid w:val="083A6877"/>
    <w:rsid w:val="0AE22B65"/>
    <w:rsid w:val="0F6E701B"/>
    <w:rsid w:val="0FEF32CA"/>
    <w:rsid w:val="11095B8B"/>
    <w:rsid w:val="16036302"/>
    <w:rsid w:val="16A022AB"/>
    <w:rsid w:val="172B3C8B"/>
    <w:rsid w:val="17301286"/>
    <w:rsid w:val="1A3A4DBC"/>
    <w:rsid w:val="1BCF6C37"/>
    <w:rsid w:val="1CF777BC"/>
    <w:rsid w:val="1DD11934"/>
    <w:rsid w:val="1ED24BFE"/>
    <w:rsid w:val="1F370DA3"/>
    <w:rsid w:val="1F48029C"/>
    <w:rsid w:val="1F901B92"/>
    <w:rsid w:val="23CF7A86"/>
    <w:rsid w:val="25984E90"/>
    <w:rsid w:val="26C82B97"/>
    <w:rsid w:val="26D846AB"/>
    <w:rsid w:val="273E7C3F"/>
    <w:rsid w:val="28B640A0"/>
    <w:rsid w:val="2A615292"/>
    <w:rsid w:val="2E84799A"/>
    <w:rsid w:val="2F314E0D"/>
    <w:rsid w:val="2F7E1441"/>
    <w:rsid w:val="32D75A45"/>
    <w:rsid w:val="36F05A0C"/>
    <w:rsid w:val="370A6D13"/>
    <w:rsid w:val="372129C6"/>
    <w:rsid w:val="399E0F98"/>
    <w:rsid w:val="3A4E2F34"/>
    <w:rsid w:val="3C6B26BF"/>
    <w:rsid w:val="3D696787"/>
    <w:rsid w:val="3E2866CC"/>
    <w:rsid w:val="3E905657"/>
    <w:rsid w:val="3EFF40CD"/>
    <w:rsid w:val="3FDCFABE"/>
    <w:rsid w:val="3FEFB7B7"/>
    <w:rsid w:val="3FFF0DA7"/>
    <w:rsid w:val="41D75940"/>
    <w:rsid w:val="45CD67E7"/>
    <w:rsid w:val="465327CE"/>
    <w:rsid w:val="48A045AB"/>
    <w:rsid w:val="499F0266"/>
    <w:rsid w:val="4D1709C3"/>
    <w:rsid w:val="4D7F1CAE"/>
    <w:rsid w:val="4D8D2E19"/>
    <w:rsid w:val="4DAF7CF8"/>
    <w:rsid w:val="4F6A2AE2"/>
    <w:rsid w:val="515C64B6"/>
    <w:rsid w:val="51796035"/>
    <w:rsid w:val="538226E0"/>
    <w:rsid w:val="539C72B0"/>
    <w:rsid w:val="540F0375"/>
    <w:rsid w:val="54F30F26"/>
    <w:rsid w:val="561C2EC0"/>
    <w:rsid w:val="57CC07EF"/>
    <w:rsid w:val="58135360"/>
    <w:rsid w:val="5C957B5A"/>
    <w:rsid w:val="5DC12740"/>
    <w:rsid w:val="5EEEBAEF"/>
    <w:rsid w:val="5F45041F"/>
    <w:rsid w:val="60A76D6C"/>
    <w:rsid w:val="61517E91"/>
    <w:rsid w:val="62E81AF0"/>
    <w:rsid w:val="65387167"/>
    <w:rsid w:val="6A1C2667"/>
    <w:rsid w:val="6C60119C"/>
    <w:rsid w:val="6DFA1037"/>
    <w:rsid w:val="6ECF23D3"/>
    <w:rsid w:val="722D19B3"/>
    <w:rsid w:val="725F90C8"/>
    <w:rsid w:val="728F1E7C"/>
    <w:rsid w:val="72D52371"/>
    <w:rsid w:val="73AB2F20"/>
    <w:rsid w:val="75765346"/>
    <w:rsid w:val="75F348E0"/>
    <w:rsid w:val="763D5F49"/>
    <w:rsid w:val="769F7AB2"/>
    <w:rsid w:val="77FC9D76"/>
    <w:rsid w:val="793FA083"/>
    <w:rsid w:val="7AA226C9"/>
    <w:rsid w:val="7DBF6B6F"/>
    <w:rsid w:val="7DBF6D0B"/>
    <w:rsid w:val="7E06559B"/>
    <w:rsid w:val="7FCE8D9A"/>
    <w:rsid w:val="7FFDDEF9"/>
    <w:rsid w:val="A1E77189"/>
    <w:rsid w:val="BD72A8A3"/>
    <w:rsid w:val="BFB1C17D"/>
    <w:rsid w:val="D2EFD179"/>
    <w:rsid w:val="D7F3E396"/>
    <w:rsid w:val="F6EC7505"/>
    <w:rsid w:val="FCBEDCDC"/>
    <w:rsid w:val="FDB7AEBF"/>
    <w:rsid w:val="FED764DB"/>
    <w:rsid w:val="FF9F37B0"/>
    <w:rsid w:val="FFF602C3"/>
    <w:rsid w:val="FFFF32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itle"/>
    <w:basedOn w:val="1"/>
    <w:next w:val="3"/>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3">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paragraph" w:styleId="4">
    <w:name w:val="Document Map"/>
    <w:basedOn w:val="1"/>
    <w:semiHidden/>
    <w:uiPriority w:val="0"/>
    <w:pPr>
      <w:shd w:val="clear" w:color="auto" w:fill="000080"/>
    </w:pPr>
  </w:style>
  <w:style w:type="paragraph" w:styleId="5">
    <w:name w:val="Date"/>
    <w:basedOn w:val="1"/>
    <w:next w:val="1"/>
    <w:link w:val="16"/>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7"/>
    <w:uiPriority w:val="0"/>
    <w:pPr>
      <w:tabs>
        <w:tab w:val="center" w:pos="4153"/>
        <w:tab w:val="right" w:pos="8306"/>
      </w:tabs>
      <w:snapToGrid w:val="0"/>
      <w:jc w:val="left"/>
    </w:pPr>
    <w:rPr>
      <w:sz w:val="18"/>
      <w:szCs w:val="18"/>
    </w:rPr>
  </w:style>
  <w:style w:type="paragraph" w:styleId="8">
    <w:name w:val="header"/>
    <w:basedOn w:val="1"/>
    <w:link w:val="18"/>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22"/>
    <w:rPr>
      <w:rFonts w:ascii="Calibri" w:hAnsi="Calibri" w:eastAsia="宋体" w:cs="Times New Roman"/>
      <w:b/>
      <w:bCs/>
    </w:rPr>
  </w:style>
  <w:style w:type="character" w:styleId="13">
    <w:name w:val="page number"/>
    <w:basedOn w:val="11"/>
    <w:uiPriority w:val="0"/>
  </w:style>
  <w:style w:type="paragraph" w:customStyle="1" w:styleId="14">
    <w:name w:val="UserStyle_9"/>
    <w:basedOn w:val="1"/>
    <w:link w:val="19"/>
    <w:qFormat/>
    <w:uiPriority w:val="0"/>
    <w:pPr>
      <w:widowControl/>
      <w:tabs>
        <w:tab w:val="left" w:pos="360"/>
      </w:tabs>
      <w:textAlignment w:val="baseline"/>
    </w:pPr>
    <w:rPr>
      <w:rFonts w:ascii="Calibri" w:hAnsi="Calibri" w:eastAsia="仿宋_GB2312" w:cs="Times New Roman"/>
      <w:kern w:val="0"/>
      <w:sz w:val="32"/>
      <w:szCs w:val="20"/>
      <w:lang w:bidi="ar-SA"/>
    </w:rPr>
  </w:style>
  <w:style w:type="paragraph" w:customStyle="1" w:styleId="15">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6">
    <w:name w:val=" Char Char1"/>
    <w:basedOn w:val="11"/>
    <w:link w:val="5"/>
    <w:uiPriority w:val="0"/>
    <w:rPr>
      <w:rFonts w:ascii="仿宋_GB2312" w:hAnsi="Times New Roman" w:eastAsia="仿宋_GB2312" w:cs="Times New Roman"/>
      <w:kern w:val="2"/>
      <w:sz w:val="32"/>
      <w:szCs w:val="24"/>
      <w:lang w:bidi="ar-SA"/>
    </w:rPr>
  </w:style>
  <w:style w:type="character" w:customStyle="1" w:styleId="17">
    <w:name w:val=" Char Char2"/>
    <w:basedOn w:val="11"/>
    <w:link w:val="7"/>
    <w:semiHidden/>
    <w:uiPriority w:val="99"/>
    <w:rPr>
      <w:rFonts w:ascii="Calibri" w:hAnsi="Calibri" w:eastAsia="宋体" w:cs="Mongolian Baiti"/>
      <w:kern w:val="2"/>
      <w:sz w:val="18"/>
      <w:szCs w:val="22"/>
    </w:rPr>
  </w:style>
  <w:style w:type="character" w:customStyle="1" w:styleId="18">
    <w:name w:val=" Char Char"/>
    <w:basedOn w:val="11"/>
    <w:link w:val="8"/>
    <w:semiHidden/>
    <w:uiPriority w:val="99"/>
    <w:rPr>
      <w:rFonts w:ascii="Calibri" w:hAnsi="Calibri" w:eastAsia="宋体" w:cs="Mongolian Baiti"/>
      <w:kern w:val="2"/>
      <w:sz w:val="18"/>
      <w:szCs w:val="22"/>
    </w:rPr>
  </w:style>
  <w:style w:type="character" w:customStyle="1" w:styleId="19">
    <w:name w:val="NormalCharacter"/>
    <w:link w:val="14"/>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2023-01-29T01:31:21Z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