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开展城市学校和医院人防工程建设的指导意见</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内政办发〔2021〕79号</w:t>
      </w: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为大力推进城市学校和医院等人员密集公共场所人防工程建设，提</w:t>
      </w:r>
      <w:r>
        <w:rPr>
          <w:rFonts w:hint="eastAsia" w:ascii="仿宋" w:hAnsi="仿宋" w:eastAsia="仿宋" w:cs="仿宋"/>
          <w:color w:val="000000"/>
          <w:sz w:val="32"/>
          <w:szCs w:val="32"/>
          <w:lang w:eastAsia="zh-CN"/>
        </w:rPr>
        <w:t>升</w:t>
      </w:r>
      <w:r>
        <w:rPr>
          <w:rFonts w:hint="eastAsia" w:ascii="仿宋" w:hAnsi="仿宋" w:eastAsia="仿宋" w:cs="仿宋"/>
          <w:color w:val="000000"/>
          <w:sz w:val="32"/>
          <w:szCs w:val="32"/>
        </w:rPr>
        <w:t>重要人防设施军民兼用水平，增强人防资源的公共服务功能，</w:t>
      </w:r>
      <w:r>
        <w:rPr>
          <w:rFonts w:hint="eastAsia" w:ascii="仿宋" w:hAnsi="仿宋" w:eastAsia="仿宋" w:cs="仿宋"/>
          <w:sz w:val="32"/>
          <w:szCs w:val="32"/>
        </w:rPr>
        <w:t>依据《中华人民共和国人民防空法》《内蒙古自治区实施〈中华人民共和国人民防空法〉办法》《内蒙古自治区人民防空工程建设管理规定》等有关法律</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eastAsia="zh-CN"/>
        </w:rPr>
        <w:t>、规章规定</w:t>
      </w:r>
      <w:r>
        <w:rPr>
          <w:rFonts w:hint="eastAsia" w:ascii="仿宋" w:hAnsi="仿宋" w:eastAsia="仿宋" w:cs="仿宋"/>
          <w:sz w:val="32"/>
          <w:szCs w:val="32"/>
        </w:rPr>
        <w:t>，</w:t>
      </w:r>
      <w:r>
        <w:rPr>
          <w:rFonts w:hint="eastAsia" w:ascii="仿宋" w:hAnsi="仿宋" w:eastAsia="仿宋" w:cs="仿宋"/>
          <w:sz w:val="32"/>
          <w:szCs w:val="32"/>
          <w:lang w:eastAsia="zh-CN"/>
        </w:rPr>
        <w:t>经自治区人民政府同意，</w:t>
      </w:r>
      <w:r>
        <w:rPr>
          <w:rFonts w:hint="eastAsia" w:ascii="仿宋" w:hAnsi="仿宋" w:eastAsia="仿宋" w:cs="仿宋"/>
          <w:color w:val="000000"/>
          <w:sz w:val="32"/>
          <w:szCs w:val="32"/>
        </w:rPr>
        <w:t>现提出如下意见。</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（一）指导思想。</w:t>
      </w:r>
      <w:r>
        <w:rPr>
          <w:rFonts w:hint="eastAsia" w:ascii="仿宋" w:hAnsi="仿宋" w:eastAsia="仿宋" w:cs="仿宋"/>
          <w:color w:val="000000"/>
          <w:sz w:val="32"/>
          <w:szCs w:val="32"/>
        </w:rPr>
        <w:t>以习近平新时代中国特色社会主义思想为指导，</w:t>
      </w:r>
      <w:r>
        <w:rPr>
          <w:rFonts w:hint="eastAsia" w:ascii="仿宋" w:hAnsi="仿宋" w:eastAsia="仿宋" w:cs="仿宋"/>
          <w:color w:val="000000"/>
          <w:sz w:val="32"/>
          <w:szCs w:val="32"/>
          <w:lang w:eastAsia="zh-CN"/>
        </w:rPr>
        <w:t>全面贯彻党的十九大和十九届二中、三中、四中、五中、六中全会精神，</w:t>
      </w:r>
      <w:r>
        <w:rPr>
          <w:rFonts w:hint="eastAsia" w:ascii="仿宋" w:hAnsi="仿宋" w:eastAsia="仿宋" w:cs="仿宋"/>
          <w:color w:val="000000"/>
          <w:sz w:val="32"/>
          <w:szCs w:val="32"/>
        </w:rPr>
        <w:t>深入贯彻习近平总书记关于人防工作</w:t>
      </w:r>
      <w:r>
        <w:rPr>
          <w:rFonts w:hint="eastAsia" w:ascii="仿宋" w:hAnsi="仿宋" w:eastAsia="仿宋" w:cs="仿宋"/>
          <w:color w:val="000000"/>
          <w:sz w:val="32"/>
          <w:szCs w:val="32"/>
          <w:lang w:eastAsia="zh-CN"/>
        </w:rPr>
        <w:t>和对</w:t>
      </w:r>
      <w:r>
        <w:rPr>
          <w:rFonts w:hint="eastAsia" w:ascii="仿宋" w:hAnsi="仿宋" w:eastAsia="仿宋" w:cs="仿宋"/>
          <w:color w:val="000000"/>
          <w:sz w:val="32"/>
          <w:szCs w:val="32"/>
        </w:rPr>
        <w:t>内蒙古重要讲话重要指示批示精神，完整、准确、全面贯彻新发展理念，</w:t>
      </w:r>
      <w:r>
        <w:rPr>
          <w:rFonts w:hint="eastAsia" w:ascii="仿宋" w:hAnsi="仿宋" w:eastAsia="仿宋" w:cs="仿宋"/>
          <w:color w:val="000000"/>
          <w:sz w:val="32"/>
          <w:szCs w:val="32"/>
          <w:lang w:eastAsia="zh-CN"/>
        </w:rPr>
        <w:t>服务和融入</w:t>
      </w:r>
      <w:r>
        <w:rPr>
          <w:rFonts w:hint="eastAsia" w:ascii="仿宋" w:hAnsi="仿宋" w:eastAsia="仿宋" w:cs="仿宋"/>
          <w:color w:val="000000"/>
          <w:sz w:val="32"/>
          <w:szCs w:val="32"/>
        </w:rPr>
        <w:t>新发展格局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全面落实总体国家安全观，践行以人民为中心的发展思想和共建共治共享的社会治理理念，坚持人防工程建设与城市绿色发展相结合，以城市学校和医院为切入点，深入挖掘人防工程服务社会民生潜能，通过实施一批重点建设项目，弥补城市人员掩蔽工程比重偏低、人均掩蔽面积</w:t>
      </w:r>
      <w:r>
        <w:rPr>
          <w:rFonts w:hint="eastAsia" w:ascii="仿宋" w:hAnsi="仿宋" w:eastAsia="仿宋" w:cs="仿宋"/>
          <w:color w:val="000000"/>
          <w:sz w:val="32"/>
          <w:szCs w:val="32"/>
          <w:lang w:eastAsia="zh-CN"/>
        </w:rPr>
        <w:t>不足</w:t>
      </w:r>
      <w:r>
        <w:rPr>
          <w:rFonts w:hint="eastAsia" w:ascii="仿宋" w:hAnsi="仿宋" w:eastAsia="仿宋" w:cs="仿宋"/>
          <w:color w:val="000000"/>
          <w:sz w:val="32"/>
          <w:szCs w:val="32"/>
        </w:rPr>
        <w:t>的短板，实现民生备战兼顾、平战结合双赢，</w:t>
      </w:r>
      <w:r>
        <w:rPr>
          <w:rFonts w:hint="eastAsia" w:ascii="仿宋" w:hAnsi="仿宋" w:eastAsia="仿宋" w:cs="仿宋"/>
          <w:color w:val="000000"/>
          <w:sz w:val="32"/>
          <w:szCs w:val="32"/>
          <w:lang w:eastAsia="zh-CN"/>
        </w:rPr>
        <w:t>促进自治区经济社会</w:t>
      </w:r>
      <w:r>
        <w:rPr>
          <w:rFonts w:hint="eastAsia" w:ascii="仿宋" w:hAnsi="仿宋" w:eastAsia="仿宋" w:cs="仿宋"/>
          <w:color w:val="000000"/>
          <w:sz w:val="32"/>
          <w:szCs w:val="32"/>
        </w:rPr>
        <w:t>高质量发展。</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（二）基本原则。</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w:t>
      </w:r>
      <w:r>
        <w:rPr>
          <w:rFonts w:hint="eastAsia" w:ascii="仿宋" w:hAnsi="仿宋" w:eastAsia="仿宋" w:cs="仿宋"/>
          <w:color w:val="000000"/>
          <w:sz w:val="32"/>
          <w:szCs w:val="32"/>
        </w:rPr>
        <w:t>规划引导，突出重点。坚持以规划为引</w:t>
      </w:r>
      <w:r>
        <w:rPr>
          <w:rFonts w:hint="eastAsia" w:ascii="仿宋" w:hAnsi="仿宋" w:eastAsia="仿宋" w:cs="仿宋"/>
          <w:color w:val="000000"/>
          <w:sz w:val="32"/>
          <w:szCs w:val="32"/>
          <w:lang w:eastAsia="zh-CN"/>
        </w:rPr>
        <w:t>领</w:t>
      </w:r>
      <w:r>
        <w:rPr>
          <w:rFonts w:hint="eastAsia" w:ascii="仿宋" w:hAnsi="仿宋" w:eastAsia="仿宋" w:cs="仿宋"/>
          <w:color w:val="000000"/>
          <w:sz w:val="32"/>
          <w:szCs w:val="32"/>
        </w:rPr>
        <w:t>，结合城市发展优化人防工程布局，重点引导人防工程结合城市学校和医院等人员密集公共场所建设，拓展城市地下空间开发力度。</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w:t>
      </w:r>
      <w:r>
        <w:rPr>
          <w:rFonts w:hint="eastAsia" w:ascii="仿宋" w:hAnsi="仿宋" w:eastAsia="仿宋" w:cs="仿宋"/>
          <w:color w:val="000000"/>
          <w:sz w:val="32"/>
          <w:szCs w:val="32"/>
        </w:rPr>
        <w:t>示范带动，注重实效。坚持以项目为抓手，示范先行，在满足战时功能的前提下，充分发挥人防工程平时利用功能，着力缓解城市停车难、行车难等实际问题，完善城市功能。</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w:t>
      </w:r>
      <w:r>
        <w:rPr>
          <w:rFonts w:hint="eastAsia" w:ascii="仿宋" w:hAnsi="仿宋" w:eastAsia="仿宋" w:cs="仿宋"/>
          <w:color w:val="000000"/>
          <w:sz w:val="32"/>
          <w:szCs w:val="32"/>
        </w:rPr>
        <w:t>明确责任，稳步推进。明确盟</w:t>
      </w:r>
      <w:r>
        <w:rPr>
          <w:rFonts w:hint="eastAsia" w:ascii="仿宋" w:hAnsi="仿宋" w:eastAsia="仿宋" w:cs="仿宋"/>
          <w:color w:val="000000"/>
          <w:sz w:val="32"/>
          <w:szCs w:val="32"/>
          <w:lang w:eastAsia="zh-CN"/>
        </w:rPr>
        <w:t>行政公署、</w:t>
      </w:r>
      <w:r>
        <w:rPr>
          <w:rFonts w:hint="eastAsia" w:ascii="仿宋" w:hAnsi="仿宋" w:eastAsia="仿宋" w:cs="仿宋"/>
          <w:color w:val="000000"/>
          <w:sz w:val="32"/>
          <w:szCs w:val="32"/>
        </w:rPr>
        <w:t>市</w:t>
      </w:r>
      <w:r>
        <w:rPr>
          <w:rFonts w:hint="eastAsia" w:ascii="仿宋" w:hAnsi="仿宋" w:eastAsia="仿宋" w:cs="仿宋"/>
          <w:color w:val="000000"/>
          <w:sz w:val="32"/>
          <w:szCs w:val="32"/>
          <w:lang w:eastAsia="zh-CN"/>
        </w:rPr>
        <w:t>人民</w:t>
      </w:r>
      <w:r>
        <w:rPr>
          <w:rFonts w:hint="eastAsia" w:ascii="仿宋" w:hAnsi="仿宋" w:eastAsia="仿宋" w:cs="仿宋"/>
          <w:color w:val="000000"/>
          <w:sz w:val="32"/>
          <w:szCs w:val="32"/>
        </w:rPr>
        <w:t>政府建设主体责任，统筹发挥好政府和市场作用，激发市场主体活力，积极探索投资运营新模式，开创人防工程建设管理新局面。</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w:t>
      </w:r>
      <w:r>
        <w:rPr>
          <w:rFonts w:hint="eastAsia" w:ascii="仿宋" w:hAnsi="仿宋" w:eastAsia="仿宋" w:cs="仿宋"/>
          <w:color w:val="000000"/>
          <w:sz w:val="32"/>
          <w:szCs w:val="32"/>
        </w:rPr>
        <w:t>技术引领，绿色发展。突出绿色设计和建造，推动信息化、智能化技术在人防工程设计、施工、使用、维护和管理等方面的深度集成应用，实现建设管理手段、模式、理念创新。</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（三）主要目标。</w:t>
      </w:r>
      <w:r>
        <w:rPr>
          <w:rFonts w:hint="eastAsia" w:ascii="仿宋" w:hAnsi="仿宋" w:eastAsia="仿宋" w:cs="仿宋"/>
          <w:color w:val="000000"/>
          <w:sz w:val="32"/>
          <w:szCs w:val="32"/>
        </w:rPr>
        <w:t>按照自治区“坚持集中集聚集约发展构建新型城镇化格局，稳步推进以人为核心的新型城镇化，重点建设呼包鄂乌城市群和赤峰、通辽区域中心城市，稳步提升中小城市承载能力”目标要求，</w:t>
      </w:r>
      <w:r>
        <w:rPr>
          <w:rFonts w:hint="eastAsia" w:ascii="仿宋" w:hAnsi="仿宋" w:eastAsia="仿宋" w:cs="仿宋"/>
          <w:color w:val="000000"/>
          <w:sz w:val="32"/>
          <w:szCs w:val="32"/>
          <w:lang w:eastAsia="zh-CN"/>
        </w:rPr>
        <w:t>抢抓</w:t>
      </w:r>
      <w:r>
        <w:rPr>
          <w:rFonts w:hint="eastAsia" w:ascii="仿宋" w:hAnsi="仿宋" w:eastAsia="仿宋" w:cs="仿宋"/>
          <w:color w:val="000000"/>
          <w:sz w:val="32"/>
          <w:szCs w:val="32"/>
        </w:rPr>
        <w:t>新型城镇化建设机遇，节约集约利用土地资源，大力推进人防工程建设与学校和医院等人员密集公共场所地下空间开发利用融合发展，着力解决学校和医院等人员密集公共场所周边停车设施供需矛盾、交通拥堵、人员掩蔽工程比重偏低、医疗救护工程短缺等突出问题。在倡导政府投资建设的人防工程以专业队工程、医疗救护工程和公用的人员掩蔽工程为主的前提下，实现人防工程和地下空间兼顾设防工程战时功能与服务保障民生需求相结合，扎实推进人防工程建设高质量发展，完善城市防空体系，为筑牢祖国北疆安全稳定屏障</w:t>
      </w:r>
      <w:r>
        <w:rPr>
          <w:rFonts w:hint="eastAsia" w:ascii="仿宋" w:hAnsi="仿宋" w:eastAsia="仿宋" w:cs="仿宋"/>
          <w:color w:val="000000"/>
          <w:sz w:val="32"/>
          <w:szCs w:val="32"/>
          <w:lang w:eastAsia="zh-CN"/>
        </w:rPr>
        <w:t>作</w:t>
      </w:r>
      <w:r>
        <w:rPr>
          <w:rFonts w:hint="eastAsia" w:ascii="仿宋" w:hAnsi="仿宋" w:eastAsia="仿宋" w:cs="仿宋"/>
          <w:color w:val="000000"/>
          <w:sz w:val="32"/>
          <w:szCs w:val="32"/>
        </w:rPr>
        <w:t>出新贡献。</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二、重点任务</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（一）坚持科学规划，加大建设力度。</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rPr>
      </w:pPr>
      <w:r>
        <w:rPr>
          <w:rFonts w:hint="eastAsia" w:ascii="仿宋" w:hAnsi="仿宋" w:eastAsia="仿宋" w:cs="仿宋"/>
          <w:color w:val="000000"/>
          <w:sz w:val="32"/>
          <w:szCs w:val="32"/>
        </w:rPr>
        <w:t>1.加强对人防工程建设的规划引导。各地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要在深入调研、充分</w:t>
      </w:r>
      <w:r>
        <w:rPr>
          <w:rFonts w:hint="eastAsia" w:ascii="仿宋" w:hAnsi="仿宋" w:eastAsia="仿宋" w:cs="仿宋"/>
          <w:color w:val="000000"/>
          <w:sz w:val="32"/>
          <w:szCs w:val="32"/>
          <w:lang w:eastAsia="zh-CN"/>
        </w:rPr>
        <w:t>论证</w:t>
      </w:r>
      <w:r>
        <w:rPr>
          <w:rFonts w:hint="eastAsia" w:ascii="仿宋" w:hAnsi="仿宋" w:eastAsia="仿宋" w:cs="仿宋"/>
          <w:color w:val="000000"/>
          <w:sz w:val="32"/>
          <w:szCs w:val="32"/>
        </w:rPr>
        <w:t>的基础上，科学编制既有和规划建设的学校、医院等人员密集公共场所人防工程建设专项规划</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规划要统筹优化公用人员掩蔽工程、医疗救护工程等布局，主要内容应及时纳入同级国土空间详细规划，形成地上与地下相配套、专用兼用相结合的区域防护格局。</w:t>
      </w:r>
      <w:r>
        <w:rPr>
          <w:rFonts w:hint="eastAsia" w:ascii="楷体" w:hAnsi="楷体" w:eastAsia="楷体" w:cs="楷体"/>
          <w:color w:val="000000"/>
          <w:sz w:val="32"/>
          <w:szCs w:val="32"/>
        </w:rPr>
        <w:t>（自治区自然资源厅、人防办、教育厅、住房城乡建设厅、卫生健康委，各盟行政公署、市人民政府负责。以下均需各盟行政公署、市人民政府负责，不再列出）</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重点支持人员密集公共场所人防工程建设。按照谋划一批、建设一批、利用一批的思路，兼顾当前和长远，重点支持城市学校和医院等人员密集公共场所人防工程建设，积极推进人防工程联通、重点公共区域疏散掩蔽、人防体系建设配套等补短板工程。</w:t>
      </w:r>
      <w:r>
        <w:rPr>
          <w:rFonts w:hint="eastAsia" w:ascii="楷体" w:hAnsi="楷体" w:eastAsia="楷体" w:cs="楷体"/>
          <w:color w:val="000000"/>
          <w:sz w:val="32"/>
          <w:szCs w:val="32"/>
        </w:rPr>
        <w:t>（自治区人防办、发展改革委、教育厅、财政厅、住房城乡建设厅、卫生健康委负责）</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楷体" w:hAnsi="楷体" w:eastAsia="楷体" w:cs="楷体"/>
          <w:color w:val="000000"/>
          <w:sz w:val="32"/>
          <w:szCs w:val="32"/>
        </w:rPr>
      </w:pPr>
      <w:r>
        <w:rPr>
          <w:rFonts w:hint="eastAsia" w:ascii="仿宋" w:hAnsi="仿宋" w:eastAsia="仿宋" w:cs="仿宋"/>
          <w:color w:val="000000"/>
          <w:sz w:val="32"/>
          <w:szCs w:val="32"/>
        </w:rPr>
        <w:t>3.高质量建设试点示范项目。</w:t>
      </w:r>
      <w:r>
        <w:rPr>
          <w:rFonts w:hint="eastAsia" w:ascii="仿宋" w:hAnsi="仿宋" w:eastAsia="仿宋" w:cs="仿宋"/>
          <w:color w:val="000000"/>
          <w:sz w:val="32"/>
          <w:szCs w:val="32"/>
          <w:lang w:eastAsia="zh-CN"/>
        </w:rPr>
        <w:t>自治区人防办</w:t>
      </w:r>
      <w:r>
        <w:rPr>
          <w:rFonts w:hint="eastAsia" w:ascii="仿宋" w:hAnsi="仿宋" w:eastAsia="仿宋" w:cs="仿宋"/>
          <w:color w:val="000000"/>
          <w:sz w:val="32"/>
          <w:szCs w:val="32"/>
        </w:rPr>
        <w:t>要结合自治区本级自建人防工程试点示范项目建设，积极引进和吸收人防工程建设领域先进设计理念和创新技术，破解人防工程战时防护要求与平时使用之间的难题，打造战时管用、平时好用的人防工程样板，实现人防工程绿色化建设、智慧化使用、数字化管理，引导和推动全区人防工程建设高质量发展。</w:t>
      </w:r>
      <w:r>
        <w:rPr>
          <w:rFonts w:hint="eastAsia" w:ascii="楷体" w:hAnsi="楷体" w:eastAsia="楷体" w:cs="楷体"/>
          <w:color w:val="000000"/>
          <w:sz w:val="32"/>
          <w:szCs w:val="32"/>
        </w:rPr>
        <w:t>（自治区人防办、财政厅负责）</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楷体" w:hAnsi="楷体" w:eastAsia="楷体" w:cs="楷体"/>
          <w:color w:val="000000"/>
          <w:sz w:val="32"/>
          <w:szCs w:val="32"/>
        </w:rPr>
      </w:pPr>
      <w:r>
        <w:rPr>
          <w:rFonts w:hint="eastAsia" w:ascii="仿宋" w:hAnsi="仿宋" w:eastAsia="仿宋" w:cs="仿宋"/>
          <w:color w:val="000000"/>
          <w:sz w:val="32"/>
          <w:szCs w:val="32"/>
        </w:rPr>
        <w:t>4.推进重点项目建设。各地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要按照</w:t>
      </w:r>
      <w:r>
        <w:rPr>
          <w:rFonts w:hint="eastAsia" w:ascii="仿宋" w:hAnsi="仿宋" w:eastAsia="仿宋" w:cs="仿宋"/>
          <w:color w:val="auto"/>
          <w:sz w:val="32"/>
          <w:szCs w:val="32"/>
        </w:rPr>
        <w:t>人防工程建设</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规</w:t>
      </w:r>
      <w:r>
        <w:rPr>
          <w:rFonts w:hint="eastAsia" w:ascii="仿宋" w:hAnsi="仿宋" w:eastAsia="仿宋" w:cs="仿宋"/>
          <w:color w:val="auto"/>
          <w:spacing w:val="-6"/>
          <w:sz w:val="32"/>
          <w:szCs w:val="32"/>
        </w:rPr>
        <w:t>划，积极推进易地建设人防工程与城市建设相结合，量力而行，</w:t>
      </w:r>
      <w:r>
        <w:rPr>
          <w:rFonts w:hint="eastAsia" w:ascii="仿宋" w:hAnsi="仿宋" w:eastAsia="仿宋" w:cs="仿宋"/>
          <w:color w:val="auto"/>
          <w:sz w:val="32"/>
          <w:szCs w:val="32"/>
        </w:rPr>
        <w:t>梳</w:t>
      </w:r>
      <w:r>
        <w:rPr>
          <w:rFonts w:hint="eastAsia" w:ascii="仿宋" w:hAnsi="仿宋" w:eastAsia="仿宋" w:cs="仿宋"/>
          <w:color w:val="000000"/>
          <w:sz w:val="32"/>
          <w:szCs w:val="32"/>
        </w:rPr>
        <w:t>理确定重点建设项目。自治区人防办要牵头建立全区人防工程建设重点项目库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各级人民防空主管部门是易地建设</w:t>
      </w:r>
      <w:r>
        <w:rPr>
          <w:rFonts w:hint="eastAsia" w:ascii="仿宋" w:hAnsi="仿宋" w:eastAsia="仿宋" w:cs="仿宋"/>
          <w:color w:val="000000"/>
          <w:sz w:val="32"/>
          <w:szCs w:val="32"/>
          <w:lang w:eastAsia="zh-CN"/>
        </w:rPr>
        <w:t>人防工程</w:t>
      </w:r>
      <w:r>
        <w:rPr>
          <w:rFonts w:hint="eastAsia" w:ascii="仿宋" w:hAnsi="仿宋" w:eastAsia="仿宋" w:cs="仿宋"/>
          <w:color w:val="000000"/>
          <w:sz w:val="32"/>
          <w:szCs w:val="32"/>
        </w:rPr>
        <w:t>项目</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实施主体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自2022年起，</w:t>
      </w:r>
      <w:r>
        <w:rPr>
          <w:rFonts w:hint="eastAsia" w:ascii="仿宋" w:hAnsi="仿宋" w:eastAsia="仿宋" w:cs="仿宋"/>
          <w:color w:val="000000"/>
          <w:sz w:val="32"/>
          <w:szCs w:val="32"/>
          <w:lang w:eastAsia="zh-CN"/>
        </w:rPr>
        <w:t>各地区</w:t>
      </w:r>
      <w:r>
        <w:rPr>
          <w:rFonts w:hint="eastAsia" w:ascii="仿宋" w:hAnsi="仿宋" w:eastAsia="仿宋" w:cs="仿宋"/>
          <w:color w:val="000000"/>
          <w:sz w:val="32"/>
          <w:szCs w:val="32"/>
        </w:rPr>
        <w:t>易地建设人防工程都要以试点示范项目为样板组织建设。</w:t>
      </w:r>
      <w:r>
        <w:rPr>
          <w:rFonts w:hint="eastAsia" w:ascii="楷体" w:hAnsi="楷体" w:eastAsia="楷体" w:cs="楷体"/>
          <w:color w:val="000000"/>
          <w:sz w:val="32"/>
          <w:szCs w:val="32"/>
        </w:rPr>
        <w:t>（自治区人防办、发展改革委、教育厅、财政厅、自然资源厅、住房城乡建设厅、卫生健康委负责）</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（二）强化技术应用，提高工程品质。</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楷体" w:hAnsi="楷体" w:eastAsia="楷体" w:cs="楷体"/>
          <w:color w:val="000000"/>
          <w:sz w:val="32"/>
          <w:szCs w:val="32"/>
        </w:rPr>
      </w:pPr>
      <w:r>
        <w:rPr>
          <w:rFonts w:hint="eastAsia" w:ascii="仿宋" w:hAnsi="仿宋" w:eastAsia="仿宋" w:cs="仿宋"/>
          <w:color w:val="000000"/>
          <w:sz w:val="32"/>
          <w:szCs w:val="32"/>
        </w:rPr>
        <w:t>1.加强科技创新和成果转化应用。在项目建设中要积极引进、消化、吸收人防工程建设领域先进理念和新技术，发展符合本地区实际的防护（防化）设备生产工艺和绿色建造技术，充分运用建筑信息模型（BIM）和大数据、物联网、5G等信息化手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实现人防工程建设、使用、维护全周期、全过程数字化管理。引导防护（防化）设备生产企业研发、引进一体化技术，强化成果转化应用，提高工艺装备水平。</w:t>
      </w:r>
      <w:r>
        <w:rPr>
          <w:rFonts w:hint="eastAsia" w:ascii="楷体" w:hAnsi="楷体" w:eastAsia="楷体" w:cs="楷体"/>
          <w:color w:val="000000"/>
          <w:sz w:val="32"/>
          <w:szCs w:val="32"/>
        </w:rPr>
        <w:t>（自治区人防办、教育厅、财政厅、住房城乡建设厅、卫生健康委负责）</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楷体" w:hAnsi="楷体" w:eastAsia="楷体" w:cs="楷体"/>
          <w:color w:val="000000"/>
          <w:sz w:val="32"/>
          <w:szCs w:val="32"/>
        </w:rPr>
      </w:pPr>
      <w:r>
        <w:rPr>
          <w:rFonts w:hint="eastAsia" w:ascii="仿宋" w:hAnsi="仿宋" w:eastAsia="仿宋" w:cs="仿宋"/>
          <w:color w:val="000000"/>
          <w:sz w:val="32"/>
          <w:szCs w:val="32"/>
        </w:rPr>
        <w:t>2.严格落实人防工程建设标准。各级人民防空主管部门要严格执行人防工程战时功能、防护等级、平战转换措施等方面的要求，</w:t>
      </w:r>
      <w:r>
        <w:rPr>
          <w:rFonts w:hint="eastAsia" w:ascii="仿宋" w:hAnsi="仿宋" w:eastAsia="仿宋" w:cs="仿宋"/>
          <w:color w:val="auto"/>
          <w:sz w:val="32"/>
          <w:szCs w:val="32"/>
        </w:rPr>
        <w:t>建立健全人防工程质量、安全监管模式与机制，</w:t>
      </w:r>
      <w:r>
        <w:rPr>
          <w:rFonts w:hint="eastAsia" w:ascii="仿宋" w:hAnsi="仿宋" w:eastAsia="仿宋" w:cs="仿宋"/>
          <w:color w:val="000000"/>
          <w:sz w:val="32"/>
          <w:szCs w:val="32"/>
        </w:rPr>
        <w:t>强</w:t>
      </w:r>
      <w:r>
        <w:rPr>
          <w:rFonts w:hint="eastAsia" w:ascii="仿宋" w:hAnsi="仿宋" w:eastAsia="仿宋" w:cs="仿宋"/>
          <w:color w:val="000000"/>
          <w:sz w:val="32"/>
          <w:szCs w:val="32"/>
          <w:lang w:eastAsia="zh-CN"/>
        </w:rPr>
        <w:t>化</w:t>
      </w:r>
      <w:r>
        <w:rPr>
          <w:rFonts w:hint="eastAsia" w:ascii="仿宋" w:hAnsi="仿宋" w:eastAsia="仿宋" w:cs="仿宋"/>
          <w:color w:val="000000"/>
          <w:sz w:val="32"/>
          <w:szCs w:val="32"/>
        </w:rPr>
        <w:t>人防工程质量和验收管理。推动政府投资的人防工程项目由代建项目管理机构实行代建制，对项目建设进行管理，统筹把好项目建设廉洁关、质量关、安全关，确保项目建设全过程程序规范、质量可控、安全稳定。</w:t>
      </w:r>
      <w:r>
        <w:rPr>
          <w:rFonts w:hint="eastAsia" w:ascii="楷体" w:hAnsi="楷体" w:eastAsia="楷体" w:cs="楷体"/>
          <w:color w:val="000000"/>
          <w:sz w:val="32"/>
          <w:szCs w:val="32"/>
        </w:rPr>
        <w:t>（自治区人防办、发展改革委、教育厅、财政厅、自然资源厅、住房城乡建设厅、卫生健康委负责）</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楷体" w:hAnsi="楷体" w:eastAsia="楷体" w:cs="楷体"/>
          <w:color w:val="000000"/>
          <w:sz w:val="32"/>
          <w:szCs w:val="32"/>
        </w:rPr>
      </w:pPr>
      <w:r>
        <w:rPr>
          <w:rFonts w:hint="eastAsia" w:ascii="仿宋" w:hAnsi="仿宋" w:eastAsia="仿宋" w:cs="仿宋"/>
          <w:color w:val="000000"/>
          <w:sz w:val="32"/>
          <w:szCs w:val="32"/>
        </w:rPr>
        <w:t>3.加强安全保障措施。各地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将城市学校和医院人防工程的平时使用纳入学校和医院日常风险排查和安全治理范畴，进行统一安全管理，配备各类安全防护和火灾防治设施设备，完善平时使用安全保障措施和应急预案。特别是针对实行封闭式管理的学校，</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融合智能刷卡、位置信息反馈、车辆进出识别等信息化技术，开发应用校园地下智慧接送系统，优化地下接送动线设计，采取分区等候接送、单循环人车分离等措施，实现方便快速、有序安全接送。</w:t>
      </w:r>
      <w:r>
        <w:rPr>
          <w:rFonts w:hint="eastAsia" w:ascii="楷体" w:hAnsi="楷体" w:eastAsia="楷体" w:cs="楷体"/>
          <w:color w:val="000000"/>
          <w:sz w:val="32"/>
          <w:szCs w:val="32"/>
        </w:rPr>
        <w:t>（自治区教育厅、卫生健康委、公安厅、住房城乡建设厅、应急厅、人防办负责）</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（三）完善制度机制，创造良好环境。</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1.规范人防工程使用和维护管理。要按照权责明确、各负其责、齐抓共管的要求，建立</w:t>
      </w:r>
      <w:r>
        <w:rPr>
          <w:rFonts w:hint="eastAsia" w:ascii="仿宋" w:hAnsi="仿宋" w:eastAsia="仿宋" w:cs="仿宋"/>
          <w:color w:val="000000"/>
          <w:sz w:val="32"/>
          <w:szCs w:val="32"/>
          <w:lang w:eastAsia="zh-CN"/>
        </w:rPr>
        <w:t>健全</w:t>
      </w:r>
      <w:r>
        <w:rPr>
          <w:rFonts w:hint="eastAsia" w:ascii="仿宋" w:hAnsi="仿宋" w:eastAsia="仿宋" w:cs="仿宋"/>
          <w:color w:val="000000"/>
          <w:sz w:val="32"/>
          <w:szCs w:val="32"/>
        </w:rPr>
        <w:t>人防工程使用和维护管理机制，督促人防设施使用单位履行职责和义务。各级人民防空主管部门要按照“谁使用、谁维护”的原则，加强对人防工程日常使用和维护的管理</w:t>
      </w:r>
      <w:r>
        <w:rPr>
          <w:rFonts w:hint="eastAsia" w:ascii="仿宋" w:hAnsi="仿宋" w:eastAsia="仿宋" w:cs="仿宋"/>
          <w:color w:val="000000"/>
          <w:sz w:val="32"/>
          <w:szCs w:val="32"/>
          <w:lang w:eastAsia="zh-CN"/>
        </w:rPr>
        <w:t>。人防工程</w:t>
      </w:r>
      <w:r>
        <w:rPr>
          <w:rFonts w:hint="eastAsia" w:ascii="仿宋" w:hAnsi="仿宋" w:eastAsia="仿宋" w:cs="仿宋"/>
          <w:color w:val="000000"/>
          <w:sz w:val="32"/>
          <w:szCs w:val="32"/>
        </w:rPr>
        <w:t>使用单位要向人民防空主管部门申领平时使用证，并签订使用协议，明确维护管理责任、战时义务、违约责任等事项，确保</w:t>
      </w:r>
      <w:r>
        <w:rPr>
          <w:rFonts w:hint="eastAsia" w:ascii="仿宋" w:hAnsi="仿宋" w:eastAsia="仿宋" w:cs="仿宋"/>
          <w:color w:val="000000"/>
          <w:sz w:val="32"/>
          <w:szCs w:val="32"/>
          <w:lang w:eastAsia="zh-CN"/>
        </w:rPr>
        <w:t>人防工程</w:t>
      </w:r>
      <w:r>
        <w:rPr>
          <w:rFonts w:hint="eastAsia" w:ascii="仿宋" w:hAnsi="仿宋" w:eastAsia="仿宋" w:cs="仿宋"/>
          <w:color w:val="000000"/>
          <w:sz w:val="32"/>
          <w:szCs w:val="32"/>
        </w:rPr>
        <w:t>使用和维护管理规范有序。</w:t>
      </w:r>
      <w:r>
        <w:rPr>
          <w:rFonts w:hint="eastAsia" w:ascii="楷体" w:hAnsi="楷体" w:eastAsia="楷体" w:cs="楷体"/>
          <w:color w:val="000000"/>
          <w:sz w:val="32"/>
          <w:szCs w:val="32"/>
        </w:rPr>
        <w:t>（自治区人防办、教育厅、卫生健康委、住房城乡建设厅、应急厅负责）</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营</w:t>
      </w:r>
      <w:r>
        <w:rPr>
          <w:rFonts w:hint="eastAsia" w:ascii="仿宋" w:hAnsi="仿宋" w:eastAsia="仿宋" w:cs="仿宋"/>
          <w:color w:val="000000"/>
          <w:sz w:val="32"/>
          <w:szCs w:val="32"/>
        </w:rPr>
        <w:t>造项目建设良好</w:t>
      </w:r>
      <w:r>
        <w:rPr>
          <w:rFonts w:hint="eastAsia" w:ascii="仿宋" w:hAnsi="仿宋" w:eastAsia="仿宋" w:cs="仿宋"/>
          <w:color w:val="000000"/>
          <w:sz w:val="32"/>
          <w:szCs w:val="32"/>
          <w:lang w:eastAsia="zh-CN"/>
        </w:rPr>
        <w:t>环境</w:t>
      </w:r>
      <w:r>
        <w:rPr>
          <w:rFonts w:hint="eastAsia" w:ascii="仿宋" w:hAnsi="仿宋" w:eastAsia="仿宋" w:cs="仿宋"/>
          <w:color w:val="000000"/>
          <w:sz w:val="32"/>
          <w:szCs w:val="32"/>
        </w:rPr>
        <w:t>。各级财政部门应加强</w:t>
      </w:r>
      <w:r>
        <w:rPr>
          <w:rFonts w:hint="eastAsia" w:ascii="仿宋" w:hAnsi="仿宋" w:eastAsia="仿宋" w:cs="仿宋"/>
          <w:color w:val="000000"/>
          <w:sz w:val="32"/>
          <w:szCs w:val="32"/>
          <w:lang w:eastAsia="zh-CN"/>
        </w:rPr>
        <w:t>人防工程</w:t>
      </w:r>
      <w:r>
        <w:rPr>
          <w:rFonts w:hint="eastAsia" w:ascii="仿宋" w:hAnsi="仿宋" w:eastAsia="仿宋" w:cs="仿宋"/>
          <w:color w:val="000000"/>
          <w:sz w:val="32"/>
          <w:szCs w:val="32"/>
        </w:rPr>
        <w:t>易地建设费预算管理，依法将易地建设项目经费纳入</w:t>
      </w:r>
      <w:r>
        <w:rPr>
          <w:rFonts w:hint="eastAsia" w:ascii="仿宋" w:hAnsi="仿宋" w:eastAsia="仿宋" w:cs="仿宋"/>
          <w:color w:val="000000"/>
          <w:sz w:val="32"/>
          <w:szCs w:val="32"/>
          <w:lang w:eastAsia="zh-CN"/>
        </w:rPr>
        <w:t>本级</w:t>
      </w:r>
      <w:r>
        <w:rPr>
          <w:rFonts w:hint="eastAsia" w:ascii="仿宋" w:hAnsi="仿宋" w:eastAsia="仿宋" w:cs="仿宋"/>
          <w:color w:val="000000"/>
          <w:sz w:val="32"/>
          <w:szCs w:val="32"/>
        </w:rPr>
        <w:t>财政预算保障范围，按照人防工程建设计划、进度和实际用款需求，分年度做好经费保障工作。各地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要积极创新投资运营机制，鼓励社会资本以独资、合资等方式积极参与人防工程和兼顾设防工程</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建设，简化立项、审批程序，</w:t>
      </w:r>
      <w:r>
        <w:rPr>
          <w:rFonts w:hint="eastAsia" w:ascii="仿宋" w:hAnsi="仿宋" w:eastAsia="仿宋" w:cs="仿宋"/>
          <w:color w:val="000000"/>
          <w:sz w:val="32"/>
          <w:szCs w:val="32"/>
          <w:lang w:eastAsia="zh-CN"/>
        </w:rPr>
        <w:t>营</w:t>
      </w:r>
      <w:r>
        <w:rPr>
          <w:rFonts w:hint="eastAsia" w:ascii="仿宋" w:hAnsi="仿宋" w:eastAsia="仿宋" w:cs="仿宋"/>
          <w:color w:val="000000"/>
          <w:sz w:val="32"/>
          <w:szCs w:val="32"/>
        </w:rPr>
        <w:t>造良好</w:t>
      </w:r>
      <w:r>
        <w:rPr>
          <w:rFonts w:hint="eastAsia" w:ascii="仿宋" w:hAnsi="仿宋" w:eastAsia="仿宋" w:cs="仿宋"/>
          <w:color w:val="000000"/>
          <w:sz w:val="32"/>
          <w:szCs w:val="32"/>
          <w:lang w:eastAsia="zh-CN"/>
        </w:rPr>
        <w:t>环境</w:t>
      </w:r>
      <w:r>
        <w:rPr>
          <w:rFonts w:hint="eastAsia" w:ascii="仿宋" w:hAnsi="仿宋" w:eastAsia="仿宋" w:cs="仿宋"/>
          <w:color w:val="000000"/>
          <w:sz w:val="32"/>
          <w:szCs w:val="32"/>
        </w:rPr>
        <w:t>。</w:t>
      </w:r>
      <w:r>
        <w:rPr>
          <w:rFonts w:hint="eastAsia" w:ascii="楷体" w:hAnsi="楷体" w:eastAsia="楷体" w:cs="楷体"/>
          <w:color w:val="000000"/>
          <w:sz w:val="32"/>
          <w:szCs w:val="32"/>
        </w:rPr>
        <w:t>（自治区财政厅、</w:t>
      </w:r>
      <w:r>
        <w:rPr>
          <w:rFonts w:hint="eastAsia" w:ascii="楷体" w:hAnsi="楷体" w:eastAsia="楷体" w:cs="楷体"/>
          <w:color w:val="000000"/>
          <w:spacing w:val="6"/>
          <w:sz w:val="32"/>
          <w:szCs w:val="32"/>
        </w:rPr>
        <w:t>发展改革委、教育厅、住房城乡建设厅、卫生健康委、人防办负责）</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三、保障措施</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（一）落实主体责任。</w:t>
      </w:r>
      <w:r>
        <w:rPr>
          <w:rFonts w:hint="eastAsia" w:ascii="仿宋" w:hAnsi="仿宋" w:eastAsia="仿宋" w:cs="仿宋"/>
          <w:color w:val="000000"/>
          <w:sz w:val="32"/>
          <w:szCs w:val="32"/>
        </w:rPr>
        <w:t>各盟行政公署、市人民政府是推进本行政区域</w:t>
      </w:r>
      <w:r>
        <w:rPr>
          <w:rFonts w:hint="eastAsia" w:ascii="仿宋" w:hAnsi="仿宋" w:eastAsia="仿宋" w:cs="仿宋"/>
          <w:color w:val="000000"/>
          <w:sz w:val="32"/>
          <w:szCs w:val="32"/>
          <w:lang w:eastAsia="zh-CN"/>
        </w:rPr>
        <w:t>城市</w:t>
      </w:r>
      <w:r>
        <w:rPr>
          <w:rFonts w:hint="eastAsia" w:ascii="仿宋" w:hAnsi="仿宋" w:eastAsia="仿宋" w:cs="仿宋"/>
          <w:color w:val="000000"/>
          <w:sz w:val="32"/>
          <w:szCs w:val="32"/>
        </w:rPr>
        <w:t>学校和医院等人员密集公共场所人防工程建设的责任主体，要着</w:t>
      </w:r>
      <w:r>
        <w:rPr>
          <w:rFonts w:hint="eastAsia" w:ascii="仿宋" w:hAnsi="仿宋" w:eastAsia="仿宋" w:cs="仿宋"/>
          <w:color w:val="000000"/>
          <w:sz w:val="32"/>
          <w:szCs w:val="32"/>
          <w:lang w:eastAsia="zh-CN"/>
        </w:rPr>
        <w:t>眼于</w:t>
      </w:r>
      <w:r>
        <w:rPr>
          <w:rFonts w:hint="eastAsia" w:ascii="仿宋" w:hAnsi="仿宋" w:eastAsia="仿宋" w:cs="仿宋"/>
          <w:color w:val="000000"/>
          <w:sz w:val="32"/>
          <w:szCs w:val="32"/>
        </w:rPr>
        <w:t>提高城市总体抗毁能力和完善城市功能</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加强组织领导，建立</w:t>
      </w:r>
      <w:r>
        <w:rPr>
          <w:rFonts w:hint="eastAsia" w:ascii="仿宋" w:hAnsi="仿宋" w:eastAsia="仿宋" w:cs="仿宋"/>
          <w:color w:val="000000"/>
          <w:sz w:val="32"/>
          <w:szCs w:val="32"/>
          <w:lang w:eastAsia="zh-CN"/>
        </w:rPr>
        <w:t>健全</w:t>
      </w:r>
      <w:r>
        <w:rPr>
          <w:rFonts w:hint="eastAsia" w:ascii="仿宋" w:hAnsi="仿宋" w:eastAsia="仿宋" w:cs="仿宋"/>
          <w:color w:val="000000"/>
          <w:sz w:val="32"/>
          <w:szCs w:val="32"/>
        </w:rPr>
        <w:t>工作机制，强化责任落实，及时研究解决工作中存在的重点、难点问题，确保高效推进项目实施。</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（二）强化部门责任。</w:t>
      </w:r>
      <w:r>
        <w:rPr>
          <w:rFonts w:hint="eastAsia" w:ascii="仿宋" w:hAnsi="仿宋" w:eastAsia="仿宋" w:cs="仿宋"/>
          <w:color w:val="000000"/>
          <w:sz w:val="32"/>
          <w:szCs w:val="32"/>
        </w:rPr>
        <w:t>各</w:t>
      </w:r>
      <w:r>
        <w:rPr>
          <w:rFonts w:hint="eastAsia" w:ascii="仿宋" w:hAnsi="仿宋" w:eastAsia="仿宋" w:cs="仿宋"/>
          <w:color w:val="000000"/>
          <w:sz w:val="32"/>
          <w:szCs w:val="32"/>
          <w:lang w:eastAsia="zh-CN"/>
        </w:rPr>
        <w:t>有</w:t>
      </w:r>
      <w:r>
        <w:rPr>
          <w:rFonts w:hint="eastAsia" w:ascii="仿宋" w:hAnsi="仿宋" w:eastAsia="仿宋" w:cs="仿宋"/>
          <w:color w:val="000000"/>
          <w:sz w:val="32"/>
          <w:szCs w:val="32"/>
        </w:rPr>
        <w:t>关部门要按照职责分工，加强</w:t>
      </w:r>
      <w:r>
        <w:rPr>
          <w:rFonts w:hint="eastAsia" w:ascii="仿宋" w:hAnsi="仿宋" w:eastAsia="仿宋" w:cs="仿宋"/>
          <w:color w:val="000000"/>
          <w:sz w:val="32"/>
          <w:szCs w:val="32"/>
          <w:lang w:eastAsia="zh-CN"/>
        </w:rPr>
        <w:t>协调</w:t>
      </w:r>
      <w:r>
        <w:rPr>
          <w:rFonts w:hint="eastAsia" w:ascii="仿宋" w:hAnsi="仿宋" w:eastAsia="仿宋" w:cs="仿宋"/>
          <w:color w:val="000000"/>
          <w:sz w:val="32"/>
          <w:szCs w:val="32"/>
        </w:rPr>
        <w:t>配合，强化部门联动，</w:t>
      </w:r>
      <w:r>
        <w:rPr>
          <w:rFonts w:hint="eastAsia" w:ascii="仿宋" w:hAnsi="仿宋" w:eastAsia="仿宋" w:cs="仿宋"/>
          <w:color w:val="000000"/>
          <w:sz w:val="32"/>
          <w:szCs w:val="32"/>
          <w:lang w:eastAsia="zh-CN"/>
        </w:rPr>
        <w:t>合力</w:t>
      </w:r>
      <w:r>
        <w:rPr>
          <w:rFonts w:hint="eastAsia" w:ascii="仿宋" w:hAnsi="仿宋" w:eastAsia="仿宋" w:cs="仿宋"/>
          <w:color w:val="000000"/>
          <w:sz w:val="32"/>
          <w:szCs w:val="32"/>
        </w:rPr>
        <w:t>做好城市学校和医院人防工程建设工作。发展改革部门要大力支持将易地建设人防工程项目列入政府投资年度计划；财政部门要依法</w:t>
      </w:r>
      <w:r>
        <w:rPr>
          <w:rFonts w:hint="eastAsia" w:ascii="仿宋" w:hAnsi="仿宋" w:eastAsia="仿宋" w:cs="仿宋"/>
          <w:color w:val="000000"/>
          <w:sz w:val="32"/>
          <w:szCs w:val="32"/>
          <w:lang w:eastAsia="zh-CN"/>
        </w:rPr>
        <w:t>依规</w:t>
      </w:r>
      <w:r>
        <w:rPr>
          <w:rFonts w:hint="eastAsia" w:ascii="仿宋" w:hAnsi="仿宋" w:eastAsia="仿宋" w:cs="仿宋"/>
          <w:color w:val="000000"/>
          <w:sz w:val="32"/>
          <w:szCs w:val="32"/>
        </w:rPr>
        <w:t>将易地建设项目经费纳入政府财政预算保障范围；自然资源部门要将人防工程建设专项规划的主要内容及时纳入国土空间详细规划；住房城乡建设部门要推动政府投资人防工程实行代建制，加强人防工程平时用于停车设施的管理工作；教育、卫生健康部门要积极配合推动结合城市新建和已建学校、医院人防工程建设；公安、应急管理部门要落实维护治安秩序、火灾防治、应急处置等平时使用安全保障措施。</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（三）加强组织实施。</w:t>
      </w:r>
      <w:r>
        <w:rPr>
          <w:rFonts w:hint="eastAsia" w:ascii="仿宋" w:hAnsi="仿宋" w:eastAsia="仿宋" w:cs="仿宋"/>
          <w:color w:val="000000"/>
          <w:sz w:val="32"/>
          <w:szCs w:val="32"/>
        </w:rPr>
        <w:t>自治区人防办要加强对各地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人防</w:t>
      </w:r>
      <w:r>
        <w:rPr>
          <w:rFonts w:hint="eastAsia" w:ascii="仿宋" w:hAnsi="仿宋" w:eastAsia="仿宋" w:cs="仿宋"/>
          <w:color w:val="000000"/>
          <w:sz w:val="32"/>
          <w:szCs w:val="32"/>
          <w:lang w:eastAsia="zh-CN"/>
        </w:rPr>
        <w:t>工程</w:t>
      </w:r>
      <w:r>
        <w:rPr>
          <w:rFonts w:hint="eastAsia" w:ascii="仿宋" w:hAnsi="仿宋" w:eastAsia="仿宋" w:cs="仿宋"/>
          <w:color w:val="000000"/>
          <w:sz w:val="32"/>
          <w:szCs w:val="32"/>
        </w:rPr>
        <w:t>建设的督导，</w:t>
      </w:r>
      <w:r>
        <w:rPr>
          <w:rFonts w:hint="eastAsia" w:ascii="仿宋" w:hAnsi="仿宋" w:eastAsia="仿宋" w:cs="仿宋"/>
          <w:color w:val="000000"/>
          <w:sz w:val="32"/>
          <w:szCs w:val="32"/>
          <w:lang w:eastAsia="zh-CN"/>
        </w:rPr>
        <w:t>统筹做好</w:t>
      </w:r>
      <w:r>
        <w:rPr>
          <w:rFonts w:hint="eastAsia" w:ascii="仿宋" w:hAnsi="仿宋" w:eastAsia="仿宋" w:cs="仿宋"/>
          <w:color w:val="000000"/>
          <w:sz w:val="32"/>
          <w:szCs w:val="32"/>
        </w:rPr>
        <w:t>政策咨询、技术指导和项目审批等</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rPr>
        <w:t>各级人民防空主管部门要把此项工作作为创新性工作抓</w:t>
      </w:r>
      <w:r>
        <w:rPr>
          <w:rFonts w:hint="eastAsia" w:ascii="仿宋" w:hAnsi="仿宋" w:eastAsia="仿宋" w:cs="仿宋"/>
          <w:color w:val="000000"/>
          <w:sz w:val="32"/>
          <w:szCs w:val="32"/>
          <w:lang w:eastAsia="zh-CN"/>
        </w:rPr>
        <w:t>好抓实</w:t>
      </w:r>
      <w:r>
        <w:rPr>
          <w:rFonts w:hint="eastAsia" w:ascii="仿宋" w:hAnsi="仿宋" w:eastAsia="仿宋" w:cs="仿宋"/>
          <w:color w:val="000000"/>
          <w:sz w:val="32"/>
          <w:szCs w:val="32"/>
        </w:rPr>
        <w:t>，主要领导要亲自谋划</w:t>
      </w:r>
      <w:r>
        <w:rPr>
          <w:rFonts w:hint="eastAsia" w:ascii="仿宋" w:hAnsi="仿宋" w:eastAsia="仿宋" w:cs="仿宋"/>
          <w:color w:val="000000"/>
          <w:sz w:val="32"/>
          <w:szCs w:val="32"/>
          <w:lang w:eastAsia="zh-CN"/>
        </w:rPr>
        <w:t>、亲自部署</w:t>
      </w:r>
      <w:r>
        <w:rPr>
          <w:rFonts w:hint="eastAsia" w:ascii="仿宋" w:hAnsi="仿宋" w:eastAsia="仿宋" w:cs="仿宋"/>
          <w:color w:val="000000"/>
          <w:sz w:val="32"/>
          <w:szCs w:val="32"/>
        </w:rPr>
        <w:t>，细化工作任务，实化工作举措，</w:t>
      </w:r>
      <w:r>
        <w:rPr>
          <w:rFonts w:hint="eastAsia" w:ascii="仿宋" w:hAnsi="仿宋" w:eastAsia="仿宋" w:cs="仿宋"/>
          <w:color w:val="000000"/>
          <w:sz w:val="32"/>
          <w:szCs w:val="32"/>
          <w:lang w:eastAsia="zh-CN"/>
        </w:rPr>
        <w:t>推动工作</w:t>
      </w:r>
      <w:r>
        <w:rPr>
          <w:rFonts w:hint="eastAsia" w:ascii="仿宋" w:hAnsi="仿宋" w:eastAsia="仿宋" w:cs="仿宋"/>
          <w:color w:val="000000"/>
          <w:sz w:val="32"/>
          <w:szCs w:val="32"/>
        </w:rPr>
        <w:t>落实</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主动向同级党委</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政府</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军事部门汇报，</w:t>
      </w:r>
      <w:r>
        <w:rPr>
          <w:rFonts w:hint="eastAsia" w:ascii="仿宋" w:hAnsi="仿宋" w:eastAsia="仿宋" w:cs="仿宋"/>
          <w:color w:val="000000"/>
          <w:sz w:val="32"/>
          <w:szCs w:val="32"/>
          <w:lang w:eastAsia="zh-CN"/>
        </w:rPr>
        <w:t>积极</w:t>
      </w:r>
      <w:r>
        <w:rPr>
          <w:rFonts w:hint="eastAsia" w:ascii="仿宋" w:hAnsi="仿宋" w:eastAsia="仿宋" w:cs="仿宋"/>
          <w:color w:val="000000"/>
          <w:sz w:val="32"/>
          <w:szCs w:val="32"/>
        </w:rPr>
        <w:t>争取支持。</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（四）做好宣传引导。</w:t>
      </w:r>
      <w:r>
        <w:rPr>
          <w:rFonts w:hint="eastAsia" w:ascii="仿宋" w:hAnsi="仿宋" w:eastAsia="仿宋" w:cs="仿宋"/>
          <w:color w:val="000000"/>
          <w:sz w:val="32"/>
          <w:szCs w:val="32"/>
          <w:lang w:eastAsia="zh-CN"/>
        </w:rPr>
        <w:t>各地区各有关部门要</w:t>
      </w:r>
      <w:r>
        <w:rPr>
          <w:rFonts w:hint="eastAsia" w:ascii="仿宋" w:hAnsi="仿宋" w:eastAsia="仿宋" w:cs="仿宋"/>
          <w:color w:val="000000"/>
          <w:sz w:val="32"/>
          <w:szCs w:val="32"/>
        </w:rPr>
        <w:t>充分利用新闻媒体，加</w:t>
      </w:r>
      <w:r>
        <w:rPr>
          <w:rFonts w:hint="eastAsia" w:ascii="仿宋" w:hAnsi="仿宋" w:eastAsia="仿宋" w:cs="仿宋"/>
          <w:color w:val="000000"/>
          <w:sz w:val="32"/>
          <w:szCs w:val="32"/>
          <w:lang w:eastAsia="zh-CN"/>
        </w:rPr>
        <w:t>大对城市</w:t>
      </w:r>
      <w:r>
        <w:rPr>
          <w:rFonts w:hint="eastAsia" w:ascii="仿宋" w:hAnsi="仿宋" w:eastAsia="仿宋" w:cs="仿宋"/>
          <w:color w:val="000000"/>
          <w:sz w:val="32"/>
          <w:szCs w:val="32"/>
        </w:rPr>
        <w:t>学校和医院等人员密集公共场所人防工程建设</w:t>
      </w:r>
      <w:r>
        <w:rPr>
          <w:rFonts w:hint="eastAsia" w:ascii="仿宋" w:hAnsi="仿宋" w:eastAsia="仿宋" w:cs="仿宋"/>
          <w:color w:val="000000"/>
          <w:sz w:val="32"/>
          <w:szCs w:val="32"/>
          <w:lang w:eastAsia="zh-CN"/>
        </w:rPr>
        <w:t>的宣传力度</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特别是</w:t>
      </w:r>
      <w:r>
        <w:rPr>
          <w:rFonts w:hint="eastAsia" w:ascii="仿宋" w:hAnsi="仿宋" w:eastAsia="仿宋" w:cs="仿宋"/>
          <w:color w:val="000000"/>
          <w:sz w:val="32"/>
          <w:szCs w:val="32"/>
        </w:rPr>
        <w:t>大力宣传示范作用强、创新发展成效显著的项目，及时总结形成人防工程建设与城市学校和医院等人员密集公共场所地下空间开发融合发展可推广、可复制的经验。</w:t>
      </w:r>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pStyle w:val="2"/>
        <w:rPr>
          <w:rFonts w:hint="eastAsia"/>
        </w:rPr>
      </w:pPr>
    </w:p>
    <w:p>
      <w:pPr>
        <w:keepNext w:val="0"/>
        <w:keepLines w:val="0"/>
        <w:pageBreakBefore w:val="0"/>
        <w:widowControl w:val="0"/>
        <w:tabs>
          <w:tab w:val="left" w:pos="7560"/>
        </w:tabs>
        <w:kinsoku/>
        <w:wordWrap/>
        <w:overflowPunct/>
        <w:topLinePunct/>
        <w:autoSpaceDE/>
        <w:autoSpaceDN/>
        <w:bidi w:val="0"/>
        <w:spacing w:line="580" w:lineRule="exact"/>
        <w:ind w:right="0" w:rightChars="0" w:firstLine="5120" w:firstLineChars="16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2021年12月3日</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default"/>
          <w:lang w:val="en-US" w:eastAsia="zh-CN"/>
        </w:rPr>
      </w:pPr>
      <w:r>
        <w:rPr>
          <w:rFonts w:hint="eastAsia" w:ascii="仿宋" w:hAnsi="仿宋" w:eastAsia="仿宋" w:cs="仿宋"/>
          <w:color w:val="000000"/>
          <w:sz w:val="32"/>
          <w:szCs w:val="32"/>
          <w:lang w:val="en-US" w:eastAsia="zh-CN"/>
        </w:rPr>
        <w:t>（此件公开发布）</w:t>
      </w:r>
    </w:p>
    <w:p>
      <w:pPr>
        <w:pStyle w:val="2"/>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p>
    <w:p>
      <w:pPr>
        <w:rPr>
          <w:rFonts w:ascii="仿宋_GB2312" w:eastAsia="仿宋_GB2312"/>
          <w:color w:val="000000"/>
          <w:sz w:val="32"/>
          <w:szCs w:val="32"/>
        </w:rPr>
      </w:pPr>
    </w:p>
    <w:p>
      <w:pPr>
        <w:pStyle w:val="2"/>
        <w:ind w:left="0" w:leftChars="0" w:firstLine="0" w:firstLineChars="0"/>
      </w:pPr>
      <w:bookmarkStart w:id="1" w:name="_GoBack"/>
      <w:bookmarkEnd w:id="1"/>
    </w:p>
    <w:p>
      <w:pPr>
        <w:pStyle w:val="2"/>
        <w:rPr>
          <w:rFonts w:ascii="仿宋_GB2312" w:eastAsia="仿宋_GB2312"/>
          <w:color w:val="000000"/>
          <w:sz w:val="32"/>
          <w:szCs w:val="32"/>
        </w:rPr>
      </w:pPr>
    </w:p>
    <w:p>
      <w:pPr>
        <w:pStyle w:val="2"/>
        <w:rPr>
          <w:rFonts w:hint="eastAsia"/>
        </w:rPr>
      </w:pPr>
    </w:p>
    <w:p>
      <w:pPr>
        <w:rPr>
          <w:rFonts w:hint="eastAsia"/>
        </w:rPr>
      </w:pPr>
    </w:p>
    <w:p>
      <w:pPr>
        <w:pStyle w:val="2"/>
        <w:rPr>
          <w:rFonts w:hint="eastAsia"/>
        </w:rPr>
      </w:pPr>
    </w:p>
    <w:p>
      <w:pPr>
        <w:rPr>
          <w:rFonts w:hint="eastAsia"/>
        </w:rPr>
      </w:pPr>
    </w:p>
    <w:tbl>
      <w:tblPr>
        <w:tblStyle w:val="12"/>
        <w:tblW w:w="8974"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7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7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7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6</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A9"/>
    <w:rsid w:val="0000053B"/>
    <w:rsid w:val="00000BC8"/>
    <w:rsid w:val="00000D35"/>
    <w:rsid w:val="00000E8A"/>
    <w:rsid w:val="00001A5E"/>
    <w:rsid w:val="0000357B"/>
    <w:rsid w:val="00007909"/>
    <w:rsid w:val="0001025F"/>
    <w:rsid w:val="00010E68"/>
    <w:rsid w:val="00010E72"/>
    <w:rsid w:val="00010FBD"/>
    <w:rsid w:val="00013338"/>
    <w:rsid w:val="000134B5"/>
    <w:rsid w:val="0001572E"/>
    <w:rsid w:val="0001671F"/>
    <w:rsid w:val="00016ECA"/>
    <w:rsid w:val="0001751F"/>
    <w:rsid w:val="00017973"/>
    <w:rsid w:val="00017C56"/>
    <w:rsid w:val="00017C8E"/>
    <w:rsid w:val="00021290"/>
    <w:rsid w:val="000228A4"/>
    <w:rsid w:val="00024FC9"/>
    <w:rsid w:val="00025291"/>
    <w:rsid w:val="0002664D"/>
    <w:rsid w:val="000267E5"/>
    <w:rsid w:val="0003004C"/>
    <w:rsid w:val="000305B6"/>
    <w:rsid w:val="00031020"/>
    <w:rsid w:val="00032EE8"/>
    <w:rsid w:val="00034391"/>
    <w:rsid w:val="00035AFF"/>
    <w:rsid w:val="00036CC9"/>
    <w:rsid w:val="00037A1D"/>
    <w:rsid w:val="0004119F"/>
    <w:rsid w:val="00041495"/>
    <w:rsid w:val="00041EF4"/>
    <w:rsid w:val="00042754"/>
    <w:rsid w:val="00042DF8"/>
    <w:rsid w:val="00043109"/>
    <w:rsid w:val="00043BA4"/>
    <w:rsid w:val="00044710"/>
    <w:rsid w:val="00045126"/>
    <w:rsid w:val="00047737"/>
    <w:rsid w:val="0005040C"/>
    <w:rsid w:val="0005120B"/>
    <w:rsid w:val="0005201C"/>
    <w:rsid w:val="00053149"/>
    <w:rsid w:val="000538CA"/>
    <w:rsid w:val="00055C21"/>
    <w:rsid w:val="00056556"/>
    <w:rsid w:val="00056EFC"/>
    <w:rsid w:val="00057106"/>
    <w:rsid w:val="000574C5"/>
    <w:rsid w:val="00060597"/>
    <w:rsid w:val="00060CE0"/>
    <w:rsid w:val="000615CF"/>
    <w:rsid w:val="00062ADB"/>
    <w:rsid w:val="0006347A"/>
    <w:rsid w:val="00063765"/>
    <w:rsid w:val="00067027"/>
    <w:rsid w:val="000671EE"/>
    <w:rsid w:val="00070196"/>
    <w:rsid w:val="000701C3"/>
    <w:rsid w:val="000709AB"/>
    <w:rsid w:val="000712CB"/>
    <w:rsid w:val="00071558"/>
    <w:rsid w:val="00071DE3"/>
    <w:rsid w:val="00071E83"/>
    <w:rsid w:val="0007324B"/>
    <w:rsid w:val="00074623"/>
    <w:rsid w:val="00076F96"/>
    <w:rsid w:val="00081912"/>
    <w:rsid w:val="0008240A"/>
    <w:rsid w:val="00082970"/>
    <w:rsid w:val="0008397E"/>
    <w:rsid w:val="00090688"/>
    <w:rsid w:val="00090E87"/>
    <w:rsid w:val="00090EB2"/>
    <w:rsid w:val="00096A9C"/>
    <w:rsid w:val="00097C76"/>
    <w:rsid w:val="00097E64"/>
    <w:rsid w:val="000A1E68"/>
    <w:rsid w:val="000A2307"/>
    <w:rsid w:val="000A26F8"/>
    <w:rsid w:val="000A3177"/>
    <w:rsid w:val="000A327A"/>
    <w:rsid w:val="000A3DA4"/>
    <w:rsid w:val="000A3FA8"/>
    <w:rsid w:val="000A51DB"/>
    <w:rsid w:val="000A72B2"/>
    <w:rsid w:val="000A7F88"/>
    <w:rsid w:val="000B0241"/>
    <w:rsid w:val="000B12F2"/>
    <w:rsid w:val="000B182B"/>
    <w:rsid w:val="000B2C2B"/>
    <w:rsid w:val="000B318D"/>
    <w:rsid w:val="000B400C"/>
    <w:rsid w:val="000B483E"/>
    <w:rsid w:val="000B551F"/>
    <w:rsid w:val="000B5E1E"/>
    <w:rsid w:val="000B76CD"/>
    <w:rsid w:val="000C7969"/>
    <w:rsid w:val="000D1918"/>
    <w:rsid w:val="000D1E9E"/>
    <w:rsid w:val="000D2276"/>
    <w:rsid w:val="000D23EB"/>
    <w:rsid w:val="000D288A"/>
    <w:rsid w:val="000D3479"/>
    <w:rsid w:val="000D3785"/>
    <w:rsid w:val="000D46E6"/>
    <w:rsid w:val="000D4B7C"/>
    <w:rsid w:val="000D6057"/>
    <w:rsid w:val="000E12F3"/>
    <w:rsid w:val="000E189F"/>
    <w:rsid w:val="000E242A"/>
    <w:rsid w:val="000E2DE0"/>
    <w:rsid w:val="000E378D"/>
    <w:rsid w:val="000E3BE0"/>
    <w:rsid w:val="000E4A4D"/>
    <w:rsid w:val="000E5531"/>
    <w:rsid w:val="000E6931"/>
    <w:rsid w:val="000F0166"/>
    <w:rsid w:val="000F1D11"/>
    <w:rsid w:val="000F2F8B"/>
    <w:rsid w:val="000F3390"/>
    <w:rsid w:val="000F3786"/>
    <w:rsid w:val="000F3C60"/>
    <w:rsid w:val="000F3CC8"/>
    <w:rsid w:val="000F43F3"/>
    <w:rsid w:val="000F5302"/>
    <w:rsid w:val="000F6F55"/>
    <w:rsid w:val="000F7B4B"/>
    <w:rsid w:val="00100F1E"/>
    <w:rsid w:val="0010334B"/>
    <w:rsid w:val="00104732"/>
    <w:rsid w:val="00104FB1"/>
    <w:rsid w:val="00106471"/>
    <w:rsid w:val="00106725"/>
    <w:rsid w:val="001106F2"/>
    <w:rsid w:val="00110B09"/>
    <w:rsid w:val="0011191E"/>
    <w:rsid w:val="00113859"/>
    <w:rsid w:val="001147E4"/>
    <w:rsid w:val="00114AC4"/>
    <w:rsid w:val="00114FD2"/>
    <w:rsid w:val="0011598C"/>
    <w:rsid w:val="001161EF"/>
    <w:rsid w:val="001166E7"/>
    <w:rsid w:val="00117691"/>
    <w:rsid w:val="0012067D"/>
    <w:rsid w:val="00120FA6"/>
    <w:rsid w:val="00121523"/>
    <w:rsid w:val="00121A80"/>
    <w:rsid w:val="00122130"/>
    <w:rsid w:val="0012218C"/>
    <w:rsid w:val="0012298D"/>
    <w:rsid w:val="00122EA1"/>
    <w:rsid w:val="001234B2"/>
    <w:rsid w:val="00124296"/>
    <w:rsid w:val="001243C4"/>
    <w:rsid w:val="00125F40"/>
    <w:rsid w:val="001266EB"/>
    <w:rsid w:val="00126F1A"/>
    <w:rsid w:val="00127985"/>
    <w:rsid w:val="0012798F"/>
    <w:rsid w:val="00127D04"/>
    <w:rsid w:val="001303D3"/>
    <w:rsid w:val="001316F8"/>
    <w:rsid w:val="00132688"/>
    <w:rsid w:val="001327D0"/>
    <w:rsid w:val="00132E64"/>
    <w:rsid w:val="001332BC"/>
    <w:rsid w:val="001335E3"/>
    <w:rsid w:val="001340AD"/>
    <w:rsid w:val="0013461A"/>
    <w:rsid w:val="00134647"/>
    <w:rsid w:val="0013514A"/>
    <w:rsid w:val="001357FA"/>
    <w:rsid w:val="0013580C"/>
    <w:rsid w:val="00137385"/>
    <w:rsid w:val="00140625"/>
    <w:rsid w:val="00142107"/>
    <w:rsid w:val="00143B2C"/>
    <w:rsid w:val="00145C0B"/>
    <w:rsid w:val="00145D2E"/>
    <w:rsid w:val="00146D53"/>
    <w:rsid w:val="00147907"/>
    <w:rsid w:val="00147DD3"/>
    <w:rsid w:val="0015191C"/>
    <w:rsid w:val="00151AC9"/>
    <w:rsid w:val="00151C4B"/>
    <w:rsid w:val="00151DE1"/>
    <w:rsid w:val="00151F28"/>
    <w:rsid w:val="00152883"/>
    <w:rsid w:val="00153017"/>
    <w:rsid w:val="001543F9"/>
    <w:rsid w:val="00154490"/>
    <w:rsid w:val="00155A0E"/>
    <w:rsid w:val="001602EE"/>
    <w:rsid w:val="001608F4"/>
    <w:rsid w:val="0016554C"/>
    <w:rsid w:val="00166461"/>
    <w:rsid w:val="0016715A"/>
    <w:rsid w:val="001679C2"/>
    <w:rsid w:val="00167DC3"/>
    <w:rsid w:val="00170824"/>
    <w:rsid w:val="0017273F"/>
    <w:rsid w:val="00172ABF"/>
    <w:rsid w:val="00173AA9"/>
    <w:rsid w:val="00174436"/>
    <w:rsid w:val="00176670"/>
    <w:rsid w:val="00176B53"/>
    <w:rsid w:val="00177B68"/>
    <w:rsid w:val="00180CF8"/>
    <w:rsid w:val="00181A27"/>
    <w:rsid w:val="00182AE7"/>
    <w:rsid w:val="00182DBF"/>
    <w:rsid w:val="00182EC1"/>
    <w:rsid w:val="00183AA6"/>
    <w:rsid w:val="00183E03"/>
    <w:rsid w:val="001844AF"/>
    <w:rsid w:val="00184638"/>
    <w:rsid w:val="00186F4F"/>
    <w:rsid w:val="00187037"/>
    <w:rsid w:val="00192D17"/>
    <w:rsid w:val="00194319"/>
    <w:rsid w:val="001948D4"/>
    <w:rsid w:val="00195B90"/>
    <w:rsid w:val="00197198"/>
    <w:rsid w:val="001A05A5"/>
    <w:rsid w:val="001A0A30"/>
    <w:rsid w:val="001A102B"/>
    <w:rsid w:val="001A2BD2"/>
    <w:rsid w:val="001A3639"/>
    <w:rsid w:val="001A72B0"/>
    <w:rsid w:val="001B2E25"/>
    <w:rsid w:val="001B36FF"/>
    <w:rsid w:val="001B6A85"/>
    <w:rsid w:val="001C03BE"/>
    <w:rsid w:val="001C0DD8"/>
    <w:rsid w:val="001C21AB"/>
    <w:rsid w:val="001C291D"/>
    <w:rsid w:val="001C2E2C"/>
    <w:rsid w:val="001C2FB0"/>
    <w:rsid w:val="001C3230"/>
    <w:rsid w:val="001C4131"/>
    <w:rsid w:val="001C472D"/>
    <w:rsid w:val="001C57E6"/>
    <w:rsid w:val="001C67DC"/>
    <w:rsid w:val="001D0ADB"/>
    <w:rsid w:val="001D2A39"/>
    <w:rsid w:val="001D2EC2"/>
    <w:rsid w:val="001D3381"/>
    <w:rsid w:val="001D38D9"/>
    <w:rsid w:val="001D42FD"/>
    <w:rsid w:val="001D50C7"/>
    <w:rsid w:val="001D5CFD"/>
    <w:rsid w:val="001D62F3"/>
    <w:rsid w:val="001D75E1"/>
    <w:rsid w:val="001E1712"/>
    <w:rsid w:val="001E303D"/>
    <w:rsid w:val="001E321B"/>
    <w:rsid w:val="001E3AE1"/>
    <w:rsid w:val="001E4564"/>
    <w:rsid w:val="001E463E"/>
    <w:rsid w:val="001E48FC"/>
    <w:rsid w:val="001E51E8"/>
    <w:rsid w:val="001E5A4A"/>
    <w:rsid w:val="001F03C7"/>
    <w:rsid w:val="001F077E"/>
    <w:rsid w:val="001F19A3"/>
    <w:rsid w:val="001F275C"/>
    <w:rsid w:val="001F4B62"/>
    <w:rsid w:val="001F53DE"/>
    <w:rsid w:val="001F736B"/>
    <w:rsid w:val="001F7E2E"/>
    <w:rsid w:val="002014F1"/>
    <w:rsid w:val="002016DC"/>
    <w:rsid w:val="00202305"/>
    <w:rsid w:val="002037DD"/>
    <w:rsid w:val="00203FE2"/>
    <w:rsid w:val="00205C6F"/>
    <w:rsid w:val="0021082C"/>
    <w:rsid w:val="00210B51"/>
    <w:rsid w:val="00210BB9"/>
    <w:rsid w:val="002110AD"/>
    <w:rsid w:val="002112BA"/>
    <w:rsid w:val="002114D2"/>
    <w:rsid w:val="00211B40"/>
    <w:rsid w:val="00213578"/>
    <w:rsid w:val="0021430F"/>
    <w:rsid w:val="00215E18"/>
    <w:rsid w:val="00217F16"/>
    <w:rsid w:val="0022010B"/>
    <w:rsid w:val="002202A5"/>
    <w:rsid w:val="00220A23"/>
    <w:rsid w:val="002223E7"/>
    <w:rsid w:val="00222BE8"/>
    <w:rsid w:val="00223D91"/>
    <w:rsid w:val="00224AEF"/>
    <w:rsid w:val="00225BC5"/>
    <w:rsid w:val="00226765"/>
    <w:rsid w:val="002301CC"/>
    <w:rsid w:val="00230DF7"/>
    <w:rsid w:val="00232977"/>
    <w:rsid w:val="00232E28"/>
    <w:rsid w:val="0023363E"/>
    <w:rsid w:val="00233CA4"/>
    <w:rsid w:val="00234835"/>
    <w:rsid w:val="00237D8D"/>
    <w:rsid w:val="00237EB9"/>
    <w:rsid w:val="002404B4"/>
    <w:rsid w:val="00243573"/>
    <w:rsid w:val="002438BD"/>
    <w:rsid w:val="00244F58"/>
    <w:rsid w:val="002502FA"/>
    <w:rsid w:val="002508F6"/>
    <w:rsid w:val="00250FB9"/>
    <w:rsid w:val="00251B02"/>
    <w:rsid w:val="00253497"/>
    <w:rsid w:val="00253505"/>
    <w:rsid w:val="002537D8"/>
    <w:rsid w:val="00253D8D"/>
    <w:rsid w:val="00254C91"/>
    <w:rsid w:val="00255C31"/>
    <w:rsid w:val="0026009A"/>
    <w:rsid w:val="00260B18"/>
    <w:rsid w:val="00261C1B"/>
    <w:rsid w:val="00261D1A"/>
    <w:rsid w:val="00262303"/>
    <w:rsid w:val="002639A9"/>
    <w:rsid w:val="00263BB4"/>
    <w:rsid w:val="00264B5A"/>
    <w:rsid w:val="00265F33"/>
    <w:rsid w:val="00266258"/>
    <w:rsid w:val="00267C8A"/>
    <w:rsid w:val="002701FE"/>
    <w:rsid w:val="00270485"/>
    <w:rsid w:val="00271599"/>
    <w:rsid w:val="00273F15"/>
    <w:rsid w:val="002750B4"/>
    <w:rsid w:val="00275444"/>
    <w:rsid w:val="002755E6"/>
    <w:rsid w:val="00275653"/>
    <w:rsid w:val="00277086"/>
    <w:rsid w:val="0027732C"/>
    <w:rsid w:val="002815A6"/>
    <w:rsid w:val="00281743"/>
    <w:rsid w:val="00281E8B"/>
    <w:rsid w:val="002824F6"/>
    <w:rsid w:val="00284880"/>
    <w:rsid w:val="00285EAE"/>
    <w:rsid w:val="00286092"/>
    <w:rsid w:val="00290135"/>
    <w:rsid w:val="00290C9C"/>
    <w:rsid w:val="00292F0E"/>
    <w:rsid w:val="00294F4F"/>
    <w:rsid w:val="0029606D"/>
    <w:rsid w:val="002973C7"/>
    <w:rsid w:val="00297F38"/>
    <w:rsid w:val="002A07E1"/>
    <w:rsid w:val="002A0CAD"/>
    <w:rsid w:val="002A1CA1"/>
    <w:rsid w:val="002A20D8"/>
    <w:rsid w:val="002A20F2"/>
    <w:rsid w:val="002A32E1"/>
    <w:rsid w:val="002A3E00"/>
    <w:rsid w:val="002A3E18"/>
    <w:rsid w:val="002A5007"/>
    <w:rsid w:val="002A5246"/>
    <w:rsid w:val="002A64B4"/>
    <w:rsid w:val="002A67EB"/>
    <w:rsid w:val="002A7BF8"/>
    <w:rsid w:val="002B0F91"/>
    <w:rsid w:val="002B152D"/>
    <w:rsid w:val="002B1FF3"/>
    <w:rsid w:val="002B3FE9"/>
    <w:rsid w:val="002B4292"/>
    <w:rsid w:val="002B4C83"/>
    <w:rsid w:val="002B60FA"/>
    <w:rsid w:val="002B640B"/>
    <w:rsid w:val="002C0358"/>
    <w:rsid w:val="002C048B"/>
    <w:rsid w:val="002C1222"/>
    <w:rsid w:val="002C2F1E"/>
    <w:rsid w:val="002C2F22"/>
    <w:rsid w:val="002C409D"/>
    <w:rsid w:val="002C41C0"/>
    <w:rsid w:val="002C4711"/>
    <w:rsid w:val="002C4FC3"/>
    <w:rsid w:val="002C5B09"/>
    <w:rsid w:val="002C60B5"/>
    <w:rsid w:val="002C61C7"/>
    <w:rsid w:val="002D063C"/>
    <w:rsid w:val="002D0CB4"/>
    <w:rsid w:val="002D0D48"/>
    <w:rsid w:val="002D1406"/>
    <w:rsid w:val="002D2CE3"/>
    <w:rsid w:val="002D2CF6"/>
    <w:rsid w:val="002D31DC"/>
    <w:rsid w:val="002D3B12"/>
    <w:rsid w:val="002D3F3C"/>
    <w:rsid w:val="002D4032"/>
    <w:rsid w:val="002D47F5"/>
    <w:rsid w:val="002D5A5E"/>
    <w:rsid w:val="002D7462"/>
    <w:rsid w:val="002D7BD7"/>
    <w:rsid w:val="002D7DD1"/>
    <w:rsid w:val="002E0919"/>
    <w:rsid w:val="002E1006"/>
    <w:rsid w:val="002E2F22"/>
    <w:rsid w:val="002E33D0"/>
    <w:rsid w:val="002E3A52"/>
    <w:rsid w:val="002E3CC3"/>
    <w:rsid w:val="002E3D64"/>
    <w:rsid w:val="002E7BE4"/>
    <w:rsid w:val="002F0EDF"/>
    <w:rsid w:val="002F19A8"/>
    <w:rsid w:val="002F5BA9"/>
    <w:rsid w:val="002F690C"/>
    <w:rsid w:val="00301AC3"/>
    <w:rsid w:val="00302690"/>
    <w:rsid w:val="00302982"/>
    <w:rsid w:val="00303418"/>
    <w:rsid w:val="00303F96"/>
    <w:rsid w:val="00304CD4"/>
    <w:rsid w:val="003055A6"/>
    <w:rsid w:val="003107E0"/>
    <w:rsid w:val="003126E8"/>
    <w:rsid w:val="00315DA3"/>
    <w:rsid w:val="00316104"/>
    <w:rsid w:val="0031647B"/>
    <w:rsid w:val="00317237"/>
    <w:rsid w:val="003172C3"/>
    <w:rsid w:val="00317A71"/>
    <w:rsid w:val="00321960"/>
    <w:rsid w:val="00322E30"/>
    <w:rsid w:val="003231B7"/>
    <w:rsid w:val="0032416F"/>
    <w:rsid w:val="00324C04"/>
    <w:rsid w:val="00325BA7"/>
    <w:rsid w:val="00327C94"/>
    <w:rsid w:val="003340DF"/>
    <w:rsid w:val="00334343"/>
    <w:rsid w:val="003347A0"/>
    <w:rsid w:val="00335FBC"/>
    <w:rsid w:val="003365EA"/>
    <w:rsid w:val="00336F88"/>
    <w:rsid w:val="003379D8"/>
    <w:rsid w:val="00340FF0"/>
    <w:rsid w:val="00341A6E"/>
    <w:rsid w:val="003428AE"/>
    <w:rsid w:val="00342CC3"/>
    <w:rsid w:val="00343E0C"/>
    <w:rsid w:val="00344DA3"/>
    <w:rsid w:val="00345A0B"/>
    <w:rsid w:val="00347402"/>
    <w:rsid w:val="00347618"/>
    <w:rsid w:val="00350692"/>
    <w:rsid w:val="00350F9A"/>
    <w:rsid w:val="00351325"/>
    <w:rsid w:val="00351987"/>
    <w:rsid w:val="00351F4C"/>
    <w:rsid w:val="00352432"/>
    <w:rsid w:val="00352A64"/>
    <w:rsid w:val="0035334E"/>
    <w:rsid w:val="0035444E"/>
    <w:rsid w:val="003557E4"/>
    <w:rsid w:val="00355EFD"/>
    <w:rsid w:val="00361594"/>
    <w:rsid w:val="00361A29"/>
    <w:rsid w:val="00362930"/>
    <w:rsid w:val="0036490D"/>
    <w:rsid w:val="003651F9"/>
    <w:rsid w:val="0036529B"/>
    <w:rsid w:val="003657A6"/>
    <w:rsid w:val="0036715B"/>
    <w:rsid w:val="0036780C"/>
    <w:rsid w:val="00367E4A"/>
    <w:rsid w:val="00370550"/>
    <w:rsid w:val="003707F9"/>
    <w:rsid w:val="00370DA2"/>
    <w:rsid w:val="003713C0"/>
    <w:rsid w:val="00371465"/>
    <w:rsid w:val="00373B47"/>
    <w:rsid w:val="0037414E"/>
    <w:rsid w:val="0037427E"/>
    <w:rsid w:val="00375606"/>
    <w:rsid w:val="00376AF7"/>
    <w:rsid w:val="00376C45"/>
    <w:rsid w:val="00377AFC"/>
    <w:rsid w:val="00381A7A"/>
    <w:rsid w:val="00384A05"/>
    <w:rsid w:val="00385438"/>
    <w:rsid w:val="00385A38"/>
    <w:rsid w:val="003862DB"/>
    <w:rsid w:val="003878A5"/>
    <w:rsid w:val="0038796E"/>
    <w:rsid w:val="00390619"/>
    <w:rsid w:val="00390C49"/>
    <w:rsid w:val="00391FD6"/>
    <w:rsid w:val="0039202C"/>
    <w:rsid w:val="00392B94"/>
    <w:rsid w:val="00393F4B"/>
    <w:rsid w:val="00394377"/>
    <w:rsid w:val="003948FC"/>
    <w:rsid w:val="003959ED"/>
    <w:rsid w:val="003978C8"/>
    <w:rsid w:val="003A040C"/>
    <w:rsid w:val="003A0463"/>
    <w:rsid w:val="003A0C24"/>
    <w:rsid w:val="003A1A1E"/>
    <w:rsid w:val="003A2485"/>
    <w:rsid w:val="003A264D"/>
    <w:rsid w:val="003A31A0"/>
    <w:rsid w:val="003A326C"/>
    <w:rsid w:val="003A3696"/>
    <w:rsid w:val="003A42FA"/>
    <w:rsid w:val="003A5841"/>
    <w:rsid w:val="003A6755"/>
    <w:rsid w:val="003B0809"/>
    <w:rsid w:val="003B18B2"/>
    <w:rsid w:val="003B1AA3"/>
    <w:rsid w:val="003B3295"/>
    <w:rsid w:val="003B32B0"/>
    <w:rsid w:val="003B59D9"/>
    <w:rsid w:val="003B6C37"/>
    <w:rsid w:val="003C1EB9"/>
    <w:rsid w:val="003C3249"/>
    <w:rsid w:val="003C3402"/>
    <w:rsid w:val="003C3EA0"/>
    <w:rsid w:val="003C419C"/>
    <w:rsid w:val="003C41EC"/>
    <w:rsid w:val="003C4942"/>
    <w:rsid w:val="003C56A5"/>
    <w:rsid w:val="003D01EF"/>
    <w:rsid w:val="003D0F76"/>
    <w:rsid w:val="003D14A7"/>
    <w:rsid w:val="003D14CC"/>
    <w:rsid w:val="003D3B34"/>
    <w:rsid w:val="003D46AE"/>
    <w:rsid w:val="003E07E2"/>
    <w:rsid w:val="003E2B1A"/>
    <w:rsid w:val="003E323B"/>
    <w:rsid w:val="003E39D4"/>
    <w:rsid w:val="003E3F1E"/>
    <w:rsid w:val="003E549A"/>
    <w:rsid w:val="003E56BC"/>
    <w:rsid w:val="003E57F9"/>
    <w:rsid w:val="003E5A89"/>
    <w:rsid w:val="003F0B67"/>
    <w:rsid w:val="003F1ED7"/>
    <w:rsid w:val="003F1F24"/>
    <w:rsid w:val="003F31CA"/>
    <w:rsid w:val="003F32E9"/>
    <w:rsid w:val="003F39B9"/>
    <w:rsid w:val="003F595E"/>
    <w:rsid w:val="003F5BFD"/>
    <w:rsid w:val="003F6574"/>
    <w:rsid w:val="003F6D62"/>
    <w:rsid w:val="003F6E09"/>
    <w:rsid w:val="003F728E"/>
    <w:rsid w:val="00402EDB"/>
    <w:rsid w:val="00404220"/>
    <w:rsid w:val="00404832"/>
    <w:rsid w:val="00404D5B"/>
    <w:rsid w:val="00405680"/>
    <w:rsid w:val="00407A95"/>
    <w:rsid w:val="004100FD"/>
    <w:rsid w:val="0041232A"/>
    <w:rsid w:val="004125FC"/>
    <w:rsid w:val="00412AD9"/>
    <w:rsid w:val="00412EB9"/>
    <w:rsid w:val="004134A3"/>
    <w:rsid w:val="004138C3"/>
    <w:rsid w:val="00413951"/>
    <w:rsid w:val="00415492"/>
    <w:rsid w:val="0041598F"/>
    <w:rsid w:val="00415BEE"/>
    <w:rsid w:val="004178C8"/>
    <w:rsid w:val="00417E96"/>
    <w:rsid w:val="00421AB2"/>
    <w:rsid w:val="00423C35"/>
    <w:rsid w:val="00426D69"/>
    <w:rsid w:val="004278D4"/>
    <w:rsid w:val="00430D45"/>
    <w:rsid w:val="00431DA3"/>
    <w:rsid w:val="00432A0C"/>
    <w:rsid w:val="00433DE5"/>
    <w:rsid w:val="004359CB"/>
    <w:rsid w:val="00437A54"/>
    <w:rsid w:val="0044149B"/>
    <w:rsid w:val="00441687"/>
    <w:rsid w:val="004417E6"/>
    <w:rsid w:val="00442031"/>
    <w:rsid w:val="004435C6"/>
    <w:rsid w:val="004443C8"/>
    <w:rsid w:val="0044481F"/>
    <w:rsid w:val="004454F7"/>
    <w:rsid w:val="00450079"/>
    <w:rsid w:val="004504E7"/>
    <w:rsid w:val="00450D25"/>
    <w:rsid w:val="0045373C"/>
    <w:rsid w:val="00453C0B"/>
    <w:rsid w:val="00453D19"/>
    <w:rsid w:val="0045463E"/>
    <w:rsid w:val="00456071"/>
    <w:rsid w:val="00456737"/>
    <w:rsid w:val="00456A72"/>
    <w:rsid w:val="00456A79"/>
    <w:rsid w:val="00461EDE"/>
    <w:rsid w:val="004629F9"/>
    <w:rsid w:val="004638A8"/>
    <w:rsid w:val="00463DDE"/>
    <w:rsid w:val="00464C29"/>
    <w:rsid w:val="00464E0F"/>
    <w:rsid w:val="00470220"/>
    <w:rsid w:val="00471E78"/>
    <w:rsid w:val="0047252B"/>
    <w:rsid w:val="00472C32"/>
    <w:rsid w:val="00472D58"/>
    <w:rsid w:val="004731FA"/>
    <w:rsid w:val="00473996"/>
    <w:rsid w:val="0047592F"/>
    <w:rsid w:val="004767E9"/>
    <w:rsid w:val="00476AF1"/>
    <w:rsid w:val="004775A7"/>
    <w:rsid w:val="00477D69"/>
    <w:rsid w:val="00477EF4"/>
    <w:rsid w:val="004816D5"/>
    <w:rsid w:val="004823A5"/>
    <w:rsid w:val="00482B2C"/>
    <w:rsid w:val="00484395"/>
    <w:rsid w:val="00484559"/>
    <w:rsid w:val="004852B6"/>
    <w:rsid w:val="004854B1"/>
    <w:rsid w:val="004876D3"/>
    <w:rsid w:val="004909BB"/>
    <w:rsid w:val="004910EF"/>
    <w:rsid w:val="0049197F"/>
    <w:rsid w:val="00493593"/>
    <w:rsid w:val="00493DD9"/>
    <w:rsid w:val="00496242"/>
    <w:rsid w:val="00496CF3"/>
    <w:rsid w:val="00496D57"/>
    <w:rsid w:val="004975DB"/>
    <w:rsid w:val="004A135E"/>
    <w:rsid w:val="004A23BB"/>
    <w:rsid w:val="004A373F"/>
    <w:rsid w:val="004A464E"/>
    <w:rsid w:val="004A4859"/>
    <w:rsid w:val="004B0832"/>
    <w:rsid w:val="004B0DD8"/>
    <w:rsid w:val="004B1D23"/>
    <w:rsid w:val="004B43E2"/>
    <w:rsid w:val="004B5CC9"/>
    <w:rsid w:val="004B72BC"/>
    <w:rsid w:val="004C0FC4"/>
    <w:rsid w:val="004C1246"/>
    <w:rsid w:val="004C1364"/>
    <w:rsid w:val="004C14AF"/>
    <w:rsid w:val="004C1EC2"/>
    <w:rsid w:val="004C1F65"/>
    <w:rsid w:val="004C24FD"/>
    <w:rsid w:val="004C3CA8"/>
    <w:rsid w:val="004C4F15"/>
    <w:rsid w:val="004C61B8"/>
    <w:rsid w:val="004C6201"/>
    <w:rsid w:val="004C6D65"/>
    <w:rsid w:val="004C7090"/>
    <w:rsid w:val="004C70B7"/>
    <w:rsid w:val="004C7561"/>
    <w:rsid w:val="004C7700"/>
    <w:rsid w:val="004D028D"/>
    <w:rsid w:val="004D3A57"/>
    <w:rsid w:val="004D3D71"/>
    <w:rsid w:val="004D4FBD"/>
    <w:rsid w:val="004D6222"/>
    <w:rsid w:val="004D655F"/>
    <w:rsid w:val="004E0695"/>
    <w:rsid w:val="004E1031"/>
    <w:rsid w:val="004E16F4"/>
    <w:rsid w:val="004E1708"/>
    <w:rsid w:val="004E2788"/>
    <w:rsid w:val="004E28A4"/>
    <w:rsid w:val="004E3E2A"/>
    <w:rsid w:val="004E441F"/>
    <w:rsid w:val="004E577F"/>
    <w:rsid w:val="004E7019"/>
    <w:rsid w:val="004F004E"/>
    <w:rsid w:val="004F05C3"/>
    <w:rsid w:val="004F0E59"/>
    <w:rsid w:val="004F1A93"/>
    <w:rsid w:val="004F27DA"/>
    <w:rsid w:val="004F29A2"/>
    <w:rsid w:val="004F2EAE"/>
    <w:rsid w:val="004F2FDA"/>
    <w:rsid w:val="004F49DE"/>
    <w:rsid w:val="004F4C83"/>
    <w:rsid w:val="004F52F5"/>
    <w:rsid w:val="004F564A"/>
    <w:rsid w:val="004F6088"/>
    <w:rsid w:val="004F69AE"/>
    <w:rsid w:val="00500519"/>
    <w:rsid w:val="0050055F"/>
    <w:rsid w:val="00501A8E"/>
    <w:rsid w:val="00502983"/>
    <w:rsid w:val="005045F2"/>
    <w:rsid w:val="0051102B"/>
    <w:rsid w:val="0051110B"/>
    <w:rsid w:val="00511926"/>
    <w:rsid w:val="00511A7C"/>
    <w:rsid w:val="00513E02"/>
    <w:rsid w:val="005141F0"/>
    <w:rsid w:val="00514727"/>
    <w:rsid w:val="0051691A"/>
    <w:rsid w:val="00516E12"/>
    <w:rsid w:val="00517337"/>
    <w:rsid w:val="0052014B"/>
    <w:rsid w:val="005216DB"/>
    <w:rsid w:val="00521BF6"/>
    <w:rsid w:val="00522BE1"/>
    <w:rsid w:val="005234B9"/>
    <w:rsid w:val="00525134"/>
    <w:rsid w:val="00527055"/>
    <w:rsid w:val="005271A6"/>
    <w:rsid w:val="00527483"/>
    <w:rsid w:val="00527860"/>
    <w:rsid w:val="00527B67"/>
    <w:rsid w:val="005302E8"/>
    <w:rsid w:val="005321C3"/>
    <w:rsid w:val="00532CEC"/>
    <w:rsid w:val="00535653"/>
    <w:rsid w:val="00537C60"/>
    <w:rsid w:val="005403BB"/>
    <w:rsid w:val="00540508"/>
    <w:rsid w:val="00541462"/>
    <w:rsid w:val="00545692"/>
    <w:rsid w:val="00547939"/>
    <w:rsid w:val="0055006E"/>
    <w:rsid w:val="00551776"/>
    <w:rsid w:val="0055194D"/>
    <w:rsid w:val="005528A4"/>
    <w:rsid w:val="0055343F"/>
    <w:rsid w:val="005538B1"/>
    <w:rsid w:val="00554B0F"/>
    <w:rsid w:val="005570A3"/>
    <w:rsid w:val="00557BB6"/>
    <w:rsid w:val="005617E0"/>
    <w:rsid w:val="005618EC"/>
    <w:rsid w:val="00561A56"/>
    <w:rsid w:val="005623D2"/>
    <w:rsid w:val="00562978"/>
    <w:rsid w:val="00562E28"/>
    <w:rsid w:val="00562EA3"/>
    <w:rsid w:val="00563FEC"/>
    <w:rsid w:val="00565820"/>
    <w:rsid w:val="0056793D"/>
    <w:rsid w:val="00570476"/>
    <w:rsid w:val="005736CB"/>
    <w:rsid w:val="005758B0"/>
    <w:rsid w:val="0057593B"/>
    <w:rsid w:val="005760A2"/>
    <w:rsid w:val="005761DA"/>
    <w:rsid w:val="00576ACF"/>
    <w:rsid w:val="00576B9B"/>
    <w:rsid w:val="005775A5"/>
    <w:rsid w:val="00577A94"/>
    <w:rsid w:val="00577CD6"/>
    <w:rsid w:val="00581C4B"/>
    <w:rsid w:val="00581FD9"/>
    <w:rsid w:val="005820C9"/>
    <w:rsid w:val="00582F58"/>
    <w:rsid w:val="005847C1"/>
    <w:rsid w:val="0058491C"/>
    <w:rsid w:val="005903E6"/>
    <w:rsid w:val="005906A6"/>
    <w:rsid w:val="00590E74"/>
    <w:rsid w:val="00590FDD"/>
    <w:rsid w:val="00591D72"/>
    <w:rsid w:val="005932C3"/>
    <w:rsid w:val="00593B63"/>
    <w:rsid w:val="0059785C"/>
    <w:rsid w:val="005A182B"/>
    <w:rsid w:val="005A1F8D"/>
    <w:rsid w:val="005A48F4"/>
    <w:rsid w:val="005A50D8"/>
    <w:rsid w:val="005A6087"/>
    <w:rsid w:val="005A67BB"/>
    <w:rsid w:val="005A740E"/>
    <w:rsid w:val="005A7DA1"/>
    <w:rsid w:val="005B0120"/>
    <w:rsid w:val="005B0BCC"/>
    <w:rsid w:val="005B2090"/>
    <w:rsid w:val="005B2108"/>
    <w:rsid w:val="005B2A2F"/>
    <w:rsid w:val="005B2A3B"/>
    <w:rsid w:val="005B2A9E"/>
    <w:rsid w:val="005B2AFE"/>
    <w:rsid w:val="005B3643"/>
    <w:rsid w:val="005B39F8"/>
    <w:rsid w:val="005B3F4F"/>
    <w:rsid w:val="005B73DF"/>
    <w:rsid w:val="005C2B4E"/>
    <w:rsid w:val="005C36BB"/>
    <w:rsid w:val="005C5E3B"/>
    <w:rsid w:val="005C663F"/>
    <w:rsid w:val="005C681D"/>
    <w:rsid w:val="005C78E4"/>
    <w:rsid w:val="005C79E2"/>
    <w:rsid w:val="005C7E38"/>
    <w:rsid w:val="005D07B3"/>
    <w:rsid w:val="005D1611"/>
    <w:rsid w:val="005D47F3"/>
    <w:rsid w:val="005D4F2B"/>
    <w:rsid w:val="005D5197"/>
    <w:rsid w:val="005D534E"/>
    <w:rsid w:val="005D5D5C"/>
    <w:rsid w:val="005D6CB9"/>
    <w:rsid w:val="005D771D"/>
    <w:rsid w:val="005D7726"/>
    <w:rsid w:val="005E0DCD"/>
    <w:rsid w:val="005E5234"/>
    <w:rsid w:val="005E6AE3"/>
    <w:rsid w:val="005E7F07"/>
    <w:rsid w:val="005E7F3F"/>
    <w:rsid w:val="005F123C"/>
    <w:rsid w:val="005F1935"/>
    <w:rsid w:val="005F2B06"/>
    <w:rsid w:val="005F38E6"/>
    <w:rsid w:val="005F4482"/>
    <w:rsid w:val="005F477C"/>
    <w:rsid w:val="005F655A"/>
    <w:rsid w:val="005F6CAA"/>
    <w:rsid w:val="00602556"/>
    <w:rsid w:val="00602DE5"/>
    <w:rsid w:val="00602FB3"/>
    <w:rsid w:val="0060451F"/>
    <w:rsid w:val="006049B5"/>
    <w:rsid w:val="006054BF"/>
    <w:rsid w:val="0060556C"/>
    <w:rsid w:val="0060580F"/>
    <w:rsid w:val="00605F71"/>
    <w:rsid w:val="00605FB9"/>
    <w:rsid w:val="006077DA"/>
    <w:rsid w:val="00613495"/>
    <w:rsid w:val="006138A9"/>
    <w:rsid w:val="00613DEE"/>
    <w:rsid w:val="00616699"/>
    <w:rsid w:val="00620C5B"/>
    <w:rsid w:val="00621111"/>
    <w:rsid w:val="006217C9"/>
    <w:rsid w:val="006217CD"/>
    <w:rsid w:val="00622118"/>
    <w:rsid w:val="00622A7A"/>
    <w:rsid w:val="00623F3E"/>
    <w:rsid w:val="00624F62"/>
    <w:rsid w:val="00626C25"/>
    <w:rsid w:val="00627610"/>
    <w:rsid w:val="006320C8"/>
    <w:rsid w:val="00632581"/>
    <w:rsid w:val="00633F48"/>
    <w:rsid w:val="0063404D"/>
    <w:rsid w:val="00636E4C"/>
    <w:rsid w:val="00637C57"/>
    <w:rsid w:val="00640710"/>
    <w:rsid w:val="00642967"/>
    <w:rsid w:val="00643C82"/>
    <w:rsid w:val="00647DB0"/>
    <w:rsid w:val="006526E5"/>
    <w:rsid w:val="0065526F"/>
    <w:rsid w:val="00655583"/>
    <w:rsid w:val="00657A43"/>
    <w:rsid w:val="00657FA2"/>
    <w:rsid w:val="00660860"/>
    <w:rsid w:val="00660932"/>
    <w:rsid w:val="00660BC7"/>
    <w:rsid w:val="006613AB"/>
    <w:rsid w:val="0066177F"/>
    <w:rsid w:val="0066197A"/>
    <w:rsid w:val="00661FD1"/>
    <w:rsid w:val="006631A6"/>
    <w:rsid w:val="006635EA"/>
    <w:rsid w:val="00663DA4"/>
    <w:rsid w:val="0066516C"/>
    <w:rsid w:val="0066581C"/>
    <w:rsid w:val="006675B9"/>
    <w:rsid w:val="00670F37"/>
    <w:rsid w:val="006739C6"/>
    <w:rsid w:val="00674510"/>
    <w:rsid w:val="00674C03"/>
    <w:rsid w:val="0067548C"/>
    <w:rsid w:val="00675925"/>
    <w:rsid w:val="006800C3"/>
    <w:rsid w:val="0068029A"/>
    <w:rsid w:val="00681716"/>
    <w:rsid w:val="00683D79"/>
    <w:rsid w:val="00684358"/>
    <w:rsid w:val="00684C22"/>
    <w:rsid w:val="00686D4F"/>
    <w:rsid w:val="00687BC5"/>
    <w:rsid w:val="00687D63"/>
    <w:rsid w:val="00690C70"/>
    <w:rsid w:val="00691763"/>
    <w:rsid w:val="00691AFE"/>
    <w:rsid w:val="0069233D"/>
    <w:rsid w:val="00696EA3"/>
    <w:rsid w:val="006A27E7"/>
    <w:rsid w:val="006A28D5"/>
    <w:rsid w:val="006A3076"/>
    <w:rsid w:val="006A3B57"/>
    <w:rsid w:val="006A4BE5"/>
    <w:rsid w:val="006A5106"/>
    <w:rsid w:val="006A55AD"/>
    <w:rsid w:val="006A6372"/>
    <w:rsid w:val="006A65EF"/>
    <w:rsid w:val="006A6CAD"/>
    <w:rsid w:val="006A7C43"/>
    <w:rsid w:val="006B5088"/>
    <w:rsid w:val="006B6191"/>
    <w:rsid w:val="006B6328"/>
    <w:rsid w:val="006B6CEA"/>
    <w:rsid w:val="006B795C"/>
    <w:rsid w:val="006C0A76"/>
    <w:rsid w:val="006C3865"/>
    <w:rsid w:val="006C3921"/>
    <w:rsid w:val="006C492D"/>
    <w:rsid w:val="006C6369"/>
    <w:rsid w:val="006C6A43"/>
    <w:rsid w:val="006D2826"/>
    <w:rsid w:val="006D44DF"/>
    <w:rsid w:val="006D582C"/>
    <w:rsid w:val="006D6106"/>
    <w:rsid w:val="006D6F17"/>
    <w:rsid w:val="006E16EF"/>
    <w:rsid w:val="006E2811"/>
    <w:rsid w:val="006E478B"/>
    <w:rsid w:val="006E58B8"/>
    <w:rsid w:val="006E628F"/>
    <w:rsid w:val="006E633D"/>
    <w:rsid w:val="006E7D08"/>
    <w:rsid w:val="006F0642"/>
    <w:rsid w:val="006F069F"/>
    <w:rsid w:val="006F0977"/>
    <w:rsid w:val="006F19A2"/>
    <w:rsid w:val="006F29FC"/>
    <w:rsid w:val="006F320A"/>
    <w:rsid w:val="006F4AF1"/>
    <w:rsid w:val="006F6C03"/>
    <w:rsid w:val="006F6E60"/>
    <w:rsid w:val="006F793B"/>
    <w:rsid w:val="006F7A1E"/>
    <w:rsid w:val="00700B73"/>
    <w:rsid w:val="0070130C"/>
    <w:rsid w:val="00701475"/>
    <w:rsid w:val="007014BE"/>
    <w:rsid w:val="00701DB4"/>
    <w:rsid w:val="00704458"/>
    <w:rsid w:val="0070677A"/>
    <w:rsid w:val="00707093"/>
    <w:rsid w:val="00707748"/>
    <w:rsid w:val="00707A12"/>
    <w:rsid w:val="007103AB"/>
    <w:rsid w:val="007107BA"/>
    <w:rsid w:val="00710CE7"/>
    <w:rsid w:val="00714652"/>
    <w:rsid w:val="0071496C"/>
    <w:rsid w:val="00714DC3"/>
    <w:rsid w:val="007166D1"/>
    <w:rsid w:val="007205D5"/>
    <w:rsid w:val="007227D3"/>
    <w:rsid w:val="00722932"/>
    <w:rsid w:val="00727675"/>
    <w:rsid w:val="00730BED"/>
    <w:rsid w:val="007327B6"/>
    <w:rsid w:val="00733676"/>
    <w:rsid w:val="0073502D"/>
    <w:rsid w:val="00735DAC"/>
    <w:rsid w:val="00737112"/>
    <w:rsid w:val="007375F9"/>
    <w:rsid w:val="007377CC"/>
    <w:rsid w:val="00741072"/>
    <w:rsid w:val="007418CF"/>
    <w:rsid w:val="007443AD"/>
    <w:rsid w:val="00745BA7"/>
    <w:rsid w:val="00745F2F"/>
    <w:rsid w:val="007469D2"/>
    <w:rsid w:val="00747182"/>
    <w:rsid w:val="0075198B"/>
    <w:rsid w:val="007543DE"/>
    <w:rsid w:val="007545DA"/>
    <w:rsid w:val="007566F0"/>
    <w:rsid w:val="00757C3D"/>
    <w:rsid w:val="00760780"/>
    <w:rsid w:val="00763624"/>
    <w:rsid w:val="0076441E"/>
    <w:rsid w:val="007647C1"/>
    <w:rsid w:val="00766467"/>
    <w:rsid w:val="0076657F"/>
    <w:rsid w:val="00770A25"/>
    <w:rsid w:val="007724B8"/>
    <w:rsid w:val="00774B22"/>
    <w:rsid w:val="00777A09"/>
    <w:rsid w:val="00780AE9"/>
    <w:rsid w:val="00780DB8"/>
    <w:rsid w:val="007812A7"/>
    <w:rsid w:val="007837F3"/>
    <w:rsid w:val="00785FE1"/>
    <w:rsid w:val="00786493"/>
    <w:rsid w:val="007867FC"/>
    <w:rsid w:val="007900F2"/>
    <w:rsid w:val="00790300"/>
    <w:rsid w:val="00790448"/>
    <w:rsid w:val="007904A7"/>
    <w:rsid w:val="007937F2"/>
    <w:rsid w:val="00794271"/>
    <w:rsid w:val="00794C4E"/>
    <w:rsid w:val="00795287"/>
    <w:rsid w:val="007963A2"/>
    <w:rsid w:val="007A4676"/>
    <w:rsid w:val="007A5310"/>
    <w:rsid w:val="007A61B9"/>
    <w:rsid w:val="007A6CE8"/>
    <w:rsid w:val="007A6F05"/>
    <w:rsid w:val="007B097B"/>
    <w:rsid w:val="007B28E4"/>
    <w:rsid w:val="007B2963"/>
    <w:rsid w:val="007B2A4F"/>
    <w:rsid w:val="007B6642"/>
    <w:rsid w:val="007C3BC9"/>
    <w:rsid w:val="007C48E4"/>
    <w:rsid w:val="007C58A2"/>
    <w:rsid w:val="007C5CDC"/>
    <w:rsid w:val="007C5CFC"/>
    <w:rsid w:val="007C6DEF"/>
    <w:rsid w:val="007C7C36"/>
    <w:rsid w:val="007D18D8"/>
    <w:rsid w:val="007D1C46"/>
    <w:rsid w:val="007D340E"/>
    <w:rsid w:val="007D39F9"/>
    <w:rsid w:val="007D4AE2"/>
    <w:rsid w:val="007D4EA9"/>
    <w:rsid w:val="007D5A8A"/>
    <w:rsid w:val="007D5DDB"/>
    <w:rsid w:val="007D62CA"/>
    <w:rsid w:val="007D66C2"/>
    <w:rsid w:val="007D765B"/>
    <w:rsid w:val="007E0BFD"/>
    <w:rsid w:val="007E158B"/>
    <w:rsid w:val="007E20CA"/>
    <w:rsid w:val="007E6CA1"/>
    <w:rsid w:val="007F042D"/>
    <w:rsid w:val="007F0737"/>
    <w:rsid w:val="007F0940"/>
    <w:rsid w:val="007F19AC"/>
    <w:rsid w:val="007F1E62"/>
    <w:rsid w:val="007F24F6"/>
    <w:rsid w:val="007F2A0D"/>
    <w:rsid w:val="007F2A7E"/>
    <w:rsid w:val="007F5506"/>
    <w:rsid w:val="007F552B"/>
    <w:rsid w:val="007F5BB3"/>
    <w:rsid w:val="007F63EC"/>
    <w:rsid w:val="00800C47"/>
    <w:rsid w:val="0080218F"/>
    <w:rsid w:val="0080374F"/>
    <w:rsid w:val="00803F1B"/>
    <w:rsid w:val="008042AD"/>
    <w:rsid w:val="008056A7"/>
    <w:rsid w:val="00805852"/>
    <w:rsid w:val="00805B22"/>
    <w:rsid w:val="00810805"/>
    <w:rsid w:val="00810990"/>
    <w:rsid w:val="008109BF"/>
    <w:rsid w:val="00810C1C"/>
    <w:rsid w:val="00810F55"/>
    <w:rsid w:val="00811A91"/>
    <w:rsid w:val="00814114"/>
    <w:rsid w:val="00814459"/>
    <w:rsid w:val="00814958"/>
    <w:rsid w:val="008149CF"/>
    <w:rsid w:val="0081546A"/>
    <w:rsid w:val="00816CA5"/>
    <w:rsid w:val="00817FC3"/>
    <w:rsid w:val="0082181E"/>
    <w:rsid w:val="00822485"/>
    <w:rsid w:val="00822753"/>
    <w:rsid w:val="00822FC0"/>
    <w:rsid w:val="00823E54"/>
    <w:rsid w:val="00824A4E"/>
    <w:rsid w:val="008254E7"/>
    <w:rsid w:val="0082781D"/>
    <w:rsid w:val="00827B66"/>
    <w:rsid w:val="00833018"/>
    <w:rsid w:val="0083477F"/>
    <w:rsid w:val="00834F00"/>
    <w:rsid w:val="0083646D"/>
    <w:rsid w:val="00837152"/>
    <w:rsid w:val="00837596"/>
    <w:rsid w:val="00837AE1"/>
    <w:rsid w:val="00840886"/>
    <w:rsid w:val="008408A0"/>
    <w:rsid w:val="008421B8"/>
    <w:rsid w:val="0084461E"/>
    <w:rsid w:val="00846E88"/>
    <w:rsid w:val="00847D4C"/>
    <w:rsid w:val="00847FAA"/>
    <w:rsid w:val="008501A5"/>
    <w:rsid w:val="0085046B"/>
    <w:rsid w:val="00852B50"/>
    <w:rsid w:val="0085305F"/>
    <w:rsid w:val="008538B1"/>
    <w:rsid w:val="00854ADE"/>
    <w:rsid w:val="008576F0"/>
    <w:rsid w:val="00857C89"/>
    <w:rsid w:val="00857FE1"/>
    <w:rsid w:val="008611F2"/>
    <w:rsid w:val="0086125A"/>
    <w:rsid w:val="00861E1F"/>
    <w:rsid w:val="00861EE2"/>
    <w:rsid w:val="00862598"/>
    <w:rsid w:val="008631CD"/>
    <w:rsid w:val="00864151"/>
    <w:rsid w:val="00864C6F"/>
    <w:rsid w:val="00865C0D"/>
    <w:rsid w:val="0086611B"/>
    <w:rsid w:val="00866A5B"/>
    <w:rsid w:val="00867F1E"/>
    <w:rsid w:val="008707CA"/>
    <w:rsid w:val="00870B78"/>
    <w:rsid w:val="00870D8B"/>
    <w:rsid w:val="00871650"/>
    <w:rsid w:val="00871979"/>
    <w:rsid w:val="00872A55"/>
    <w:rsid w:val="00873542"/>
    <w:rsid w:val="00874290"/>
    <w:rsid w:val="00874ED7"/>
    <w:rsid w:val="008750C1"/>
    <w:rsid w:val="00880C71"/>
    <w:rsid w:val="0088117B"/>
    <w:rsid w:val="00882531"/>
    <w:rsid w:val="008832AB"/>
    <w:rsid w:val="00885F5E"/>
    <w:rsid w:val="008861D2"/>
    <w:rsid w:val="0088714E"/>
    <w:rsid w:val="00887FA5"/>
    <w:rsid w:val="008926B7"/>
    <w:rsid w:val="00894891"/>
    <w:rsid w:val="00894903"/>
    <w:rsid w:val="0089561E"/>
    <w:rsid w:val="00895ADC"/>
    <w:rsid w:val="0089619C"/>
    <w:rsid w:val="008A0590"/>
    <w:rsid w:val="008A05F1"/>
    <w:rsid w:val="008A0FCD"/>
    <w:rsid w:val="008A2955"/>
    <w:rsid w:val="008A37E3"/>
    <w:rsid w:val="008B063A"/>
    <w:rsid w:val="008B066F"/>
    <w:rsid w:val="008B114A"/>
    <w:rsid w:val="008B2878"/>
    <w:rsid w:val="008B2A80"/>
    <w:rsid w:val="008B4122"/>
    <w:rsid w:val="008B418B"/>
    <w:rsid w:val="008B462E"/>
    <w:rsid w:val="008B534E"/>
    <w:rsid w:val="008B536E"/>
    <w:rsid w:val="008B5F79"/>
    <w:rsid w:val="008B61CE"/>
    <w:rsid w:val="008C123A"/>
    <w:rsid w:val="008C2242"/>
    <w:rsid w:val="008C2FFC"/>
    <w:rsid w:val="008C3D85"/>
    <w:rsid w:val="008C613C"/>
    <w:rsid w:val="008D2512"/>
    <w:rsid w:val="008D3423"/>
    <w:rsid w:val="008D416F"/>
    <w:rsid w:val="008D5099"/>
    <w:rsid w:val="008D6580"/>
    <w:rsid w:val="008E1E2A"/>
    <w:rsid w:val="008E230E"/>
    <w:rsid w:val="008E277B"/>
    <w:rsid w:val="008E3748"/>
    <w:rsid w:val="008E45DE"/>
    <w:rsid w:val="008E582A"/>
    <w:rsid w:val="008E75F1"/>
    <w:rsid w:val="008E765D"/>
    <w:rsid w:val="008F37A4"/>
    <w:rsid w:val="008F3CF8"/>
    <w:rsid w:val="008F733C"/>
    <w:rsid w:val="00903FDB"/>
    <w:rsid w:val="00904292"/>
    <w:rsid w:val="0090482C"/>
    <w:rsid w:val="00905EBD"/>
    <w:rsid w:val="00906B02"/>
    <w:rsid w:val="00910626"/>
    <w:rsid w:val="00910AC9"/>
    <w:rsid w:val="009113B2"/>
    <w:rsid w:val="0091236B"/>
    <w:rsid w:val="009135EF"/>
    <w:rsid w:val="0091414F"/>
    <w:rsid w:val="009150AA"/>
    <w:rsid w:val="009167EA"/>
    <w:rsid w:val="00916E26"/>
    <w:rsid w:val="00917CF5"/>
    <w:rsid w:val="009203AD"/>
    <w:rsid w:val="00920526"/>
    <w:rsid w:val="00920BA7"/>
    <w:rsid w:val="00921D50"/>
    <w:rsid w:val="00923ABF"/>
    <w:rsid w:val="00923BD4"/>
    <w:rsid w:val="009257CF"/>
    <w:rsid w:val="00926D34"/>
    <w:rsid w:val="00926E93"/>
    <w:rsid w:val="00927BC7"/>
    <w:rsid w:val="00927CF4"/>
    <w:rsid w:val="00927FAF"/>
    <w:rsid w:val="0093066E"/>
    <w:rsid w:val="00930C66"/>
    <w:rsid w:val="00931271"/>
    <w:rsid w:val="00931AA3"/>
    <w:rsid w:val="00933AD4"/>
    <w:rsid w:val="00935D37"/>
    <w:rsid w:val="00936389"/>
    <w:rsid w:val="00940633"/>
    <w:rsid w:val="009413D6"/>
    <w:rsid w:val="009416DB"/>
    <w:rsid w:val="009418C7"/>
    <w:rsid w:val="00942DC2"/>
    <w:rsid w:val="009433EF"/>
    <w:rsid w:val="00943770"/>
    <w:rsid w:val="0094465F"/>
    <w:rsid w:val="00945851"/>
    <w:rsid w:val="009475FB"/>
    <w:rsid w:val="00947975"/>
    <w:rsid w:val="00956CA1"/>
    <w:rsid w:val="00957F98"/>
    <w:rsid w:val="00957FC8"/>
    <w:rsid w:val="0096020A"/>
    <w:rsid w:val="00960DBD"/>
    <w:rsid w:val="00960E8B"/>
    <w:rsid w:val="0096181F"/>
    <w:rsid w:val="009618C6"/>
    <w:rsid w:val="0096546E"/>
    <w:rsid w:val="0096652B"/>
    <w:rsid w:val="00967743"/>
    <w:rsid w:val="00967897"/>
    <w:rsid w:val="00967CE1"/>
    <w:rsid w:val="009700AC"/>
    <w:rsid w:val="009700B7"/>
    <w:rsid w:val="00970A4B"/>
    <w:rsid w:val="00970E4B"/>
    <w:rsid w:val="009715A4"/>
    <w:rsid w:val="0097162D"/>
    <w:rsid w:val="00972FEE"/>
    <w:rsid w:val="0097375E"/>
    <w:rsid w:val="0097473C"/>
    <w:rsid w:val="00974D3A"/>
    <w:rsid w:val="00975055"/>
    <w:rsid w:val="0097594A"/>
    <w:rsid w:val="00977B8C"/>
    <w:rsid w:val="00980419"/>
    <w:rsid w:val="00980489"/>
    <w:rsid w:val="00980D23"/>
    <w:rsid w:val="00981258"/>
    <w:rsid w:val="00981A2D"/>
    <w:rsid w:val="0098300C"/>
    <w:rsid w:val="00983562"/>
    <w:rsid w:val="00984163"/>
    <w:rsid w:val="009843B7"/>
    <w:rsid w:val="00985B53"/>
    <w:rsid w:val="00985E2D"/>
    <w:rsid w:val="0098617E"/>
    <w:rsid w:val="00987586"/>
    <w:rsid w:val="00990379"/>
    <w:rsid w:val="00990FDC"/>
    <w:rsid w:val="0099164F"/>
    <w:rsid w:val="009929E1"/>
    <w:rsid w:val="00994467"/>
    <w:rsid w:val="00994538"/>
    <w:rsid w:val="00994C46"/>
    <w:rsid w:val="00995057"/>
    <w:rsid w:val="009961C2"/>
    <w:rsid w:val="0099782D"/>
    <w:rsid w:val="00997D7A"/>
    <w:rsid w:val="009A091E"/>
    <w:rsid w:val="009A0EA9"/>
    <w:rsid w:val="009A323D"/>
    <w:rsid w:val="009A3CD9"/>
    <w:rsid w:val="009A4D6E"/>
    <w:rsid w:val="009A54A9"/>
    <w:rsid w:val="009A7A54"/>
    <w:rsid w:val="009B0458"/>
    <w:rsid w:val="009B0F62"/>
    <w:rsid w:val="009B3B1F"/>
    <w:rsid w:val="009B4126"/>
    <w:rsid w:val="009B4573"/>
    <w:rsid w:val="009B5ABF"/>
    <w:rsid w:val="009B6906"/>
    <w:rsid w:val="009B7AF2"/>
    <w:rsid w:val="009B7E26"/>
    <w:rsid w:val="009C0642"/>
    <w:rsid w:val="009C0CFE"/>
    <w:rsid w:val="009C1737"/>
    <w:rsid w:val="009C1B7E"/>
    <w:rsid w:val="009C2B1C"/>
    <w:rsid w:val="009C323E"/>
    <w:rsid w:val="009C38D6"/>
    <w:rsid w:val="009C3D15"/>
    <w:rsid w:val="009C6641"/>
    <w:rsid w:val="009C7110"/>
    <w:rsid w:val="009D16DF"/>
    <w:rsid w:val="009D1830"/>
    <w:rsid w:val="009D1AC9"/>
    <w:rsid w:val="009D1DF7"/>
    <w:rsid w:val="009D3B7A"/>
    <w:rsid w:val="009D417C"/>
    <w:rsid w:val="009D455E"/>
    <w:rsid w:val="009D76EA"/>
    <w:rsid w:val="009E0277"/>
    <w:rsid w:val="009E0B46"/>
    <w:rsid w:val="009E2822"/>
    <w:rsid w:val="009E4139"/>
    <w:rsid w:val="009E41F1"/>
    <w:rsid w:val="009E52CF"/>
    <w:rsid w:val="009E60AF"/>
    <w:rsid w:val="009E6969"/>
    <w:rsid w:val="009E727D"/>
    <w:rsid w:val="009F13D4"/>
    <w:rsid w:val="009F14F1"/>
    <w:rsid w:val="009F1CFB"/>
    <w:rsid w:val="009F1DFF"/>
    <w:rsid w:val="009F35D0"/>
    <w:rsid w:val="009F3AA2"/>
    <w:rsid w:val="009F3B9B"/>
    <w:rsid w:val="009F5A1E"/>
    <w:rsid w:val="009F69BD"/>
    <w:rsid w:val="009F69DB"/>
    <w:rsid w:val="009F6E0B"/>
    <w:rsid w:val="009F723B"/>
    <w:rsid w:val="009F7608"/>
    <w:rsid w:val="009F7E00"/>
    <w:rsid w:val="00A0130C"/>
    <w:rsid w:val="00A013CD"/>
    <w:rsid w:val="00A027F4"/>
    <w:rsid w:val="00A0337F"/>
    <w:rsid w:val="00A03FA1"/>
    <w:rsid w:val="00A055DB"/>
    <w:rsid w:val="00A0595F"/>
    <w:rsid w:val="00A05A8F"/>
    <w:rsid w:val="00A06EC7"/>
    <w:rsid w:val="00A12557"/>
    <w:rsid w:val="00A12ABC"/>
    <w:rsid w:val="00A12B15"/>
    <w:rsid w:val="00A1338D"/>
    <w:rsid w:val="00A152D3"/>
    <w:rsid w:val="00A156FF"/>
    <w:rsid w:val="00A15728"/>
    <w:rsid w:val="00A15F73"/>
    <w:rsid w:val="00A1627A"/>
    <w:rsid w:val="00A1646A"/>
    <w:rsid w:val="00A1686C"/>
    <w:rsid w:val="00A16F64"/>
    <w:rsid w:val="00A17257"/>
    <w:rsid w:val="00A1771F"/>
    <w:rsid w:val="00A17737"/>
    <w:rsid w:val="00A206AD"/>
    <w:rsid w:val="00A21826"/>
    <w:rsid w:val="00A223A7"/>
    <w:rsid w:val="00A22C92"/>
    <w:rsid w:val="00A22CDE"/>
    <w:rsid w:val="00A22ED2"/>
    <w:rsid w:val="00A23026"/>
    <w:rsid w:val="00A23044"/>
    <w:rsid w:val="00A23D17"/>
    <w:rsid w:val="00A24422"/>
    <w:rsid w:val="00A26DD8"/>
    <w:rsid w:val="00A27087"/>
    <w:rsid w:val="00A27B54"/>
    <w:rsid w:val="00A3282B"/>
    <w:rsid w:val="00A32ED3"/>
    <w:rsid w:val="00A3341E"/>
    <w:rsid w:val="00A3667B"/>
    <w:rsid w:val="00A40BAB"/>
    <w:rsid w:val="00A41CDE"/>
    <w:rsid w:val="00A421AE"/>
    <w:rsid w:val="00A42678"/>
    <w:rsid w:val="00A435D2"/>
    <w:rsid w:val="00A44782"/>
    <w:rsid w:val="00A45631"/>
    <w:rsid w:val="00A46D20"/>
    <w:rsid w:val="00A51056"/>
    <w:rsid w:val="00A52ADA"/>
    <w:rsid w:val="00A52E7C"/>
    <w:rsid w:val="00A54399"/>
    <w:rsid w:val="00A54A96"/>
    <w:rsid w:val="00A54C2D"/>
    <w:rsid w:val="00A54CC6"/>
    <w:rsid w:val="00A554F3"/>
    <w:rsid w:val="00A5583B"/>
    <w:rsid w:val="00A55F01"/>
    <w:rsid w:val="00A56382"/>
    <w:rsid w:val="00A565B8"/>
    <w:rsid w:val="00A5779D"/>
    <w:rsid w:val="00A604A7"/>
    <w:rsid w:val="00A62053"/>
    <w:rsid w:val="00A626AE"/>
    <w:rsid w:val="00A6349A"/>
    <w:rsid w:val="00A65E22"/>
    <w:rsid w:val="00A66B95"/>
    <w:rsid w:val="00A67E61"/>
    <w:rsid w:val="00A71F3E"/>
    <w:rsid w:val="00A746B2"/>
    <w:rsid w:val="00A74FC4"/>
    <w:rsid w:val="00A75F49"/>
    <w:rsid w:val="00A8034A"/>
    <w:rsid w:val="00A81344"/>
    <w:rsid w:val="00A8144C"/>
    <w:rsid w:val="00A82198"/>
    <w:rsid w:val="00A85729"/>
    <w:rsid w:val="00A867FF"/>
    <w:rsid w:val="00A869B9"/>
    <w:rsid w:val="00A871E1"/>
    <w:rsid w:val="00A872AA"/>
    <w:rsid w:val="00A87303"/>
    <w:rsid w:val="00A87978"/>
    <w:rsid w:val="00A9001D"/>
    <w:rsid w:val="00A925C8"/>
    <w:rsid w:val="00A93926"/>
    <w:rsid w:val="00A93C26"/>
    <w:rsid w:val="00A9486C"/>
    <w:rsid w:val="00A94FB8"/>
    <w:rsid w:val="00A96790"/>
    <w:rsid w:val="00A969FF"/>
    <w:rsid w:val="00AA07BD"/>
    <w:rsid w:val="00AA3212"/>
    <w:rsid w:val="00AA3545"/>
    <w:rsid w:val="00AA43B8"/>
    <w:rsid w:val="00AA49AD"/>
    <w:rsid w:val="00AA4BD1"/>
    <w:rsid w:val="00AA65FD"/>
    <w:rsid w:val="00AB27A7"/>
    <w:rsid w:val="00AB2A68"/>
    <w:rsid w:val="00AB301E"/>
    <w:rsid w:val="00AB3066"/>
    <w:rsid w:val="00AB38D9"/>
    <w:rsid w:val="00AB444E"/>
    <w:rsid w:val="00AB59B3"/>
    <w:rsid w:val="00AB7DAC"/>
    <w:rsid w:val="00AC0981"/>
    <w:rsid w:val="00AC1974"/>
    <w:rsid w:val="00AC2132"/>
    <w:rsid w:val="00AC3597"/>
    <w:rsid w:val="00AC4D0F"/>
    <w:rsid w:val="00AC6193"/>
    <w:rsid w:val="00AC685E"/>
    <w:rsid w:val="00AD0103"/>
    <w:rsid w:val="00AD04B0"/>
    <w:rsid w:val="00AD0907"/>
    <w:rsid w:val="00AD29ED"/>
    <w:rsid w:val="00AD5212"/>
    <w:rsid w:val="00AD57D5"/>
    <w:rsid w:val="00AD6AFF"/>
    <w:rsid w:val="00AE14C5"/>
    <w:rsid w:val="00AE31DE"/>
    <w:rsid w:val="00AE36EC"/>
    <w:rsid w:val="00AE43B0"/>
    <w:rsid w:val="00AE4C6F"/>
    <w:rsid w:val="00AE5AAD"/>
    <w:rsid w:val="00AE5CC0"/>
    <w:rsid w:val="00AE688F"/>
    <w:rsid w:val="00AF0652"/>
    <w:rsid w:val="00AF0A6F"/>
    <w:rsid w:val="00AF2682"/>
    <w:rsid w:val="00AF2783"/>
    <w:rsid w:val="00AF2A6F"/>
    <w:rsid w:val="00AF31FA"/>
    <w:rsid w:val="00AF375F"/>
    <w:rsid w:val="00AF400E"/>
    <w:rsid w:val="00AF4411"/>
    <w:rsid w:val="00AF51A3"/>
    <w:rsid w:val="00AF53DE"/>
    <w:rsid w:val="00AF6933"/>
    <w:rsid w:val="00AF7027"/>
    <w:rsid w:val="00AF77F7"/>
    <w:rsid w:val="00AF7A7B"/>
    <w:rsid w:val="00B00D15"/>
    <w:rsid w:val="00B021EF"/>
    <w:rsid w:val="00B02214"/>
    <w:rsid w:val="00B02E54"/>
    <w:rsid w:val="00B041F1"/>
    <w:rsid w:val="00B04AA8"/>
    <w:rsid w:val="00B05A19"/>
    <w:rsid w:val="00B05C1E"/>
    <w:rsid w:val="00B0602B"/>
    <w:rsid w:val="00B065B9"/>
    <w:rsid w:val="00B07A9F"/>
    <w:rsid w:val="00B115CD"/>
    <w:rsid w:val="00B12051"/>
    <w:rsid w:val="00B1350C"/>
    <w:rsid w:val="00B13789"/>
    <w:rsid w:val="00B1434E"/>
    <w:rsid w:val="00B14745"/>
    <w:rsid w:val="00B15D33"/>
    <w:rsid w:val="00B162C3"/>
    <w:rsid w:val="00B16973"/>
    <w:rsid w:val="00B21FD4"/>
    <w:rsid w:val="00B228FC"/>
    <w:rsid w:val="00B22EA7"/>
    <w:rsid w:val="00B246E2"/>
    <w:rsid w:val="00B24DBE"/>
    <w:rsid w:val="00B269DB"/>
    <w:rsid w:val="00B27F50"/>
    <w:rsid w:val="00B332D7"/>
    <w:rsid w:val="00B3342A"/>
    <w:rsid w:val="00B33DA1"/>
    <w:rsid w:val="00B34D82"/>
    <w:rsid w:val="00B35D36"/>
    <w:rsid w:val="00B35DA8"/>
    <w:rsid w:val="00B40DCF"/>
    <w:rsid w:val="00B41574"/>
    <w:rsid w:val="00B43C7B"/>
    <w:rsid w:val="00B4489A"/>
    <w:rsid w:val="00B4656E"/>
    <w:rsid w:val="00B47AB4"/>
    <w:rsid w:val="00B47BB0"/>
    <w:rsid w:val="00B509ED"/>
    <w:rsid w:val="00B50FD7"/>
    <w:rsid w:val="00B522DB"/>
    <w:rsid w:val="00B53696"/>
    <w:rsid w:val="00B5388B"/>
    <w:rsid w:val="00B54162"/>
    <w:rsid w:val="00B542D3"/>
    <w:rsid w:val="00B54A03"/>
    <w:rsid w:val="00B5577E"/>
    <w:rsid w:val="00B560B0"/>
    <w:rsid w:val="00B56A1E"/>
    <w:rsid w:val="00B57284"/>
    <w:rsid w:val="00B6035B"/>
    <w:rsid w:val="00B60557"/>
    <w:rsid w:val="00B64E58"/>
    <w:rsid w:val="00B666ED"/>
    <w:rsid w:val="00B67012"/>
    <w:rsid w:val="00B70DED"/>
    <w:rsid w:val="00B7317D"/>
    <w:rsid w:val="00B73533"/>
    <w:rsid w:val="00B73C2A"/>
    <w:rsid w:val="00B73E35"/>
    <w:rsid w:val="00B74FC1"/>
    <w:rsid w:val="00B76556"/>
    <w:rsid w:val="00B81FE2"/>
    <w:rsid w:val="00B827BA"/>
    <w:rsid w:val="00B836D5"/>
    <w:rsid w:val="00B840AB"/>
    <w:rsid w:val="00B84FE0"/>
    <w:rsid w:val="00B86A34"/>
    <w:rsid w:val="00B90C4D"/>
    <w:rsid w:val="00B92C79"/>
    <w:rsid w:val="00B93BAC"/>
    <w:rsid w:val="00B952EB"/>
    <w:rsid w:val="00B96270"/>
    <w:rsid w:val="00B9690A"/>
    <w:rsid w:val="00B97680"/>
    <w:rsid w:val="00BA069E"/>
    <w:rsid w:val="00BA0EAF"/>
    <w:rsid w:val="00BA114D"/>
    <w:rsid w:val="00BA12FD"/>
    <w:rsid w:val="00BA2C0E"/>
    <w:rsid w:val="00BA35BE"/>
    <w:rsid w:val="00BA420E"/>
    <w:rsid w:val="00BA5DE0"/>
    <w:rsid w:val="00BA68DD"/>
    <w:rsid w:val="00BA69BB"/>
    <w:rsid w:val="00BA6C11"/>
    <w:rsid w:val="00BA7956"/>
    <w:rsid w:val="00BA7B67"/>
    <w:rsid w:val="00BB143A"/>
    <w:rsid w:val="00BB1543"/>
    <w:rsid w:val="00BB1C93"/>
    <w:rsid w:val="00BB20DA"/>
    <w:rsid w:val="00BB4300"/>
    <w:rsid w:val="00BB753A"/>
    <w:rsid w:val="00BB77ED"/>
    <w:rsid w:val="00BC07D9"/>
    <w:rsid w:val="00BC0F68"/>
    <w:rsid w:val="00BC3A46"/>
    <w:rsid w:val="00BC44E0"/>
    <w:rsid w:val="00BC492D"/>
    <w:rsid w:val="00BC5ACB"/>
    <w:rsid w:val="00BC63A1"/>
    <w:rsid w:val="00BC6C4F"/>
    <w:rsid w:val="00BD067E"/>
    <w:rsid w:val="00BD0A62"/>
    <w:rsid w:val="00BD0B0A"/>
    <w:rsid w:val="00BD156F"/>
    <w:rsid w:val="00BD1AAA"/>
    <w:rsid w:val="00BD2640"/>
    <w:rsid w:val="00BD3403"/>
    <w:rsid w:val="00BD3778"/>
    <w:rsid w:val="00BD384E"/>
    <w:rsid w:val="00BD6CB8"/>
    <w:rsid w:val="00BE03FB"/>
    <w:rsid w:val="00BE1A66"/>
    <w:rsid w:val="00BE25B8"/>
    <w:rsid w:val="00BE2F13"/>
    <w:rsid w:val="00BE43D6"/>
    <w:rsid w:val="00BE472B"/>
    <w:rsid w:val="00BE4BFC"/>
    <w:rsid w:val="00BE5150"/>
    <w:rsid w:val="00BE5638"/>
    <w:rsid w:val="00BE696E"/>
    <w:rsid w:val="00BF04ED"/>
    <w:rsid w:val="00BF088E"/>
    <w:rsid w:val="00BF0E48"/>
    <w:rsid w:val="00BF2624"/>
    <w:rsid w:val="00BF37DC"/>
    <w:rsid w:val="00BF5D0C"/>
    <w:rsid w:val="00BF60EE"/>
    <w:rsid w:val="00BF7550"/>
    <w:rsid w:val="00C00178"/>
    <w:rsid w:val="00C0030D"/>
    <w:rsid w:val="00C0138E"/>
    <w:rsid w:val="00C023A4"/>
    <w:rsid w:val="00C03095"/>
    <w:rsid w:val="00C03B39"/>
    <w:rsid w:val="00C03DAB"/>
    <w:rsid w:val="00C0403E"/>
    <w:rsid w:val="00C05C91"/>
    <w:rsid w:val="00C05D5F"/>
    <w:rsid w:val="00C062CC"/>
    <w:rsid w:val="00C06C13"/>
    <w:rsid w:val="00C074F8"/>
    <w:rsid w:val="00C076E1"/>
    <w:rsid w:val="00C10609"/>
    <w:rsid w:val="00C1296E"/>
    <w:rsid w:val="00C141A4"/>
    <w:rsid w:val="00C1564A"/>
    <w:rsid w:val="00C15F92"/>
    <w:rsid w:val="00C168B8"/>
    <w:rsid w:val="00C16B94"/>
    <w:rsid w:val="00C16B9C"/>
    <w:rsid w:val="00C17847"/>
    <w:rsid w:val="00C2004B"/>
    <w:rsid w:val="00C22545"/>
    <w:rsid w:val="00C22AFA"/>
    <w:rsid w:val="00C24A34"/>
    <w:rsid w:val="00C275DE"/>
    <w:rsid w:val="00C32180"/>
    <w:rsid w:val="00C32586"/>
    <w:rsid w:val="00C327DB"/>
    <w:rsid w:val="00C344E7"/>
    <w:rsid w:val="00C34C2B"/>
    <w:rsid w:val="00C34F38"/>
    <w:rsid w:val="00C402A0"/>
    <w:rsid w:val="00C410D5"/>
    <w:rsid w:val="00C4174B"/>
    <w:rsid w:val="00C42790"/>
    <w:rsid w:val="00C43200"/>
    <w:rsid w:val="00C45427"/>
    <w:rsid w:val="00C460C6"/>
    <w:rsid w:val="00C46B12"/>
    <w:rsid w:val="00C471EE"/>
    <w:rsid w:val="00C5000F"/>
    <w:rsid w:val="00C5090D"/>
    <w:rsid w:val="00C516A1"/>
    <w:rsid w:val="00C531FF"/>
    <w:rsid w:val="00C53663"/>
    <w:rsid w:val="00C543E3"/>
    <w:rsid w:val="00C54463"/>
    <w:rsid w:val="00C54EA8"/>
    <w:rsid w:val="00C61B07"/>
    <w:rsid w:val="00C61DE5"/>
    <w:rsid w:val="00C625FA"/>
    <w:rsid w:val="00C6316E"/>
    <w:rsid w:val="00C63C03"/>
    <w:rsid w:val="00C644C7"/>
    <w:rsid w:val="00C659D0"/>
    <w:rsid w:val="00C65F9B"/>
    <w:rsid w:val="00C66A8C"/>
    <w:rsid w:val="00C67DA4"/>
    <w:rsid w:val="00C70168"/>
    <w:rsid w:val="00C70F21"/>
    <w:rsid w:val="00C71935"/>
    <w:rsid w:val="00C72875"/>
    <w:rsid w:val="00C72993"/>
    <w:rsid w:val="00C757DA"/>
    <w:rsid w:val="00C764E8"/>
    <w:rsid w:val="00C77A95"/>
    <w:rsid w:val="00C80569"/>
    <w:rsid w:val="00C805A2"/>
    <w:rsid w:val="00C80869"/>
    <w:rsid w:val="00C81A60"/>
    <w:rsid w:val="00C82864"/>
    <w:rsid w:val="00C82BFB"/>
    <w:rsid w:val="00C83BE9"/>
    <w:rsid w:val="00C84830"/>
    <w:rsid w:val="00C86D95"/>
    <w:rsid w:val="00C903C3"/>
    <w:rsid w:val="00C9086C"/>
    <w:rsid w:val="00C91FF9"/>
    <w:rsid w:val="00C92458"/>
    <w:rsid w:val="00C929AE"/>
    <w:rsid w:val="00C92BF2"/>
    <w:rsid w:val="00C92F43"/>
    <w:rsid w:val="00C944E5"/>
    <w:rsid w:val="00C95273"/>
    <w:rsid w:val="00C96FC0"/>
    <w:rsid w:val="00CA0898"/>
    <w:rsid w:val="00CA2CC4"/>
    <w:rsid w:val="00CA30D7"/>
    <w:rsid w:val="00CA35A8"/>
    <w:rsid w:val="00CA40EC"/>
    <w:rsid w:val="00CA4F90"/>
    <w:rsid w:val="00CA60C5"/>
    <w:rsid w:val="00CA6A99"/>
    <w:rsid w:val="00CB3AE8"/>
    <w:rsid w:val="00CB3EA3"/>
    <w:rsid w:val="00CB421B"/>
    <w:rsid w:val="00CB4366"/>
    <w:rsid w:val="00CB5D2C"/>
    <w:rsid w:val="00CB6203"/>
    <w:rsid w:val="00CC01E5"/>
    <w:rsid w:val="00CC03D2"/>
    <w:rsid w:val="00CC09E4"/>
    <w:rsid w:val="00CC14E4"/>
    <w:rsid w:val="00CC2443"/>
    <w:rsid w:val="00CC7189"/>
    <w:rsid w:val="00CD1675"/>
    <w:rsid w:val="00CD314B"/>
    <w:rsid w:val="00CD3628"/>
    <w:rsid w:val="00CD399D"/>
    <w:rsid w:val="00CD4642"/>
    <w:rsid w:val="00CD4C76"/>
    <w:rsid w:val="00CD5308"/>
    <w:rsid w:val="00CE2266"/>
    <w:rsid w:val="00CE5E6E"/>
    <w:rsid w:val="00CE618F"/>
    <w:rsid w:val="00CE6508"/>
    <w:rsid w:val="00CF04A5"/>
    <w:rsid w:val="00CF182C"/>
    <w:rsid w:val="00CF2D98"/>
    <w:rsid w:val="00CF302C"/>
    <w:rsid w:val="00CF4E60"/>
    <w:rsid w:val="00CF77E7"/>
    <w:rsid w:val="00CF7E4F"/>
    <w:rsid w:val="00D00209"/>
    <w:rsid w:val="00D00F4A"/>
    <w:rsid w:val="00D014B6"/>
    <w:rsid w:val="00D023FE"/>
    <w:rsid w:val="00D02997"/>
    <w:rsid w:val="00D02DBC"/>
    <w:rsid w:val="00D033C4"/>
    <w:rsid w:val="00D0487F"/>
    <w:rsid w:val="00D101F0"/>
    <w:rsid w:val="00D10B6E"/>
    <w:rsid w:val="00D1209D"/>
    <w:rsid w:val="00D122FC"/>
    <w:rsid w:val="00D12ED0"/>
    <w:rsid w:val="00D13AEB"/>
    <w:rsid w:val="00D14311"/>
    <w:rsid w:val="00D14674"/>
    <w:rsid w:val="00D14BFB"/>
    <w:rsid w:val="00D15976"/>
    <w:rsid w:val="00D178DE"/>
    <w:rsid w:val="00D202DB"/>
    <w:rsid w:val="00D20958"/>
    <w:rsid w:val="00D20F01"/>
    <w:rsid w:val="00D21A57"/>
    <w:rsid w:val="00D21C90"/>
    <w:rsid w:val="00D2210B"/>
    <w:rsid w:val="00D222CE"/>
    <w:rsid w:val="00D252DC"/>
    <w:rsid w:val="00D274EB"/>
    <w:rsid w:val="00D3188B"/>
    <w:rsid w:val="00D31F4E"/>
    <w:rsid w:val="00D34B40"/>
    <w:rsid w:val="00D35CBE"/>
    <w:rsid w:val="00D361D9"/>
    <w:rsid w:val="00D3737D"/>
    <w:rsid w:val="00D37406"/>
    <w:rsid w:val="00D377BF"/>
    <w:rsid w:val="00D400C3"/>
    <w:rsid w:val="00D41480"/>
    <w:rsid w:val="00D4207E"/>
    <w:rsid w:val="00D44386"/>
    <w:rsid w:val="00D444F3"/>
    <w:rsid w:val="00D44B2B"/>
    <w:rsid w:val="00D4554B"/>
    <w:rsid w:val="00D45B8D"/>
    <w:rsid w:val="00D47F8A"/>
    <w:rsid w:val="00D5002A"/>
    <w:rsid w:val="00D5097E"/>
    <w:rsid w:val="00D51432"/>
    <w:rsid w:val="00D521F9"/>
    <w:rsid w:val="00D530AF"/>
    <w:rsid w:val="00D54B07"/>
    <w:rsid w:val="00D55776"/>
    <w:rsid w:val="00D55DB4"/>
    <w:rsid w:val="00D56090"/>
    <w:rsid w:val="00D5795F"/>
    <w:rsid w:val="00D604E0"/>
    <w:rsid w:val="00D60772"/>
    <w:rsid w:val="00D60B47"/>
    <w:rsid w:val="00D616FD"/>
    <w:rsid w:val="00D6281A"/>
    <w:rsid w:val="00D6467D"/>
    <w:rsid w:val="00D67519"/>
    <w:rsid w:val="00D719F3"/>
    <w:rsid w:val="00D721B4"/>
    <w:rsid w:val="00D72523"/>
    <w:rsid w:val="00D74F18"/>
    <w:rsid w:val="00D75B3A"/>
    <w:rsid w:val="00D81722"/>
    <w:rsid w:val="00D81BCE"/>
    <w:rsid w:val="00D81C3D"/>
    <w:rsid w:val="00D82CD2"/>
    <w:rsid w:val="00D83463"/>
    <w:rsid w:val="00D83650"/>
    <w:rsid w:val="00D84241"/>
    <w:rsid w:val="00D875DA"/>
    <w:rsid w:val="00D87E9C"/>
    <w:rsid w:val="00D87EE7"/>
    <w:rsid w:val="00D91482"/>
    <w:rsid w:val="00D9267E"/>
    <w:rsid w:val="00D92D78"/>
    <w:rsid w:val="00D93219"/>
    <w:rsid w:val="00D932EE"/>
    <w:rsid w:val="00D93356"/>
    <w:rsid w:val="00D94B63"/>
    <w:rsid w:val="00D94EA0"/>
    <w:rsid w:val="00D95513"/>
    <w:rsid w:val="00D96622"/>
    <w:rsid w:val="00D96750"/>
    <w:rsid w:val="00D9708A"/>
    <w:rsid w:val="00D970DD"/>
    <w:rsid w:val="00D97AB1"/>
    <w:rsid w:val="00DA1925"/>
    <w:rsid w:val="00DA3176"/>
    <w:rsid w:val="00DA35CA"/>
    <w:rsid w:val="00DA3847"/>
    <w:rsid w:val="00DA437C"/>
    <w:rsid w:val="00DA70FF"/>
    <w:rsid w:val="00DB0CCF"/>
    <w:rsid w:val="00DB19CE"/>
    <w:rsid w:val="00DB3062"/>
    <w:rsid w:val="00DB3818"/>
    <w:rsid w:val="00DB41C3"/>
    <w:rsid w:val="00DB4518"/>
    <w:rsid w:val="00DB6B93"/>
    <w:rsid w:val="00DB6C2C"/>
    <w:rsid w:val="00DC0A4B"/>
    <w:rsid w:val="00DC0C8D"/>
    <w:rsid w:val="00DC0E9B"/>
    <w:rsid w:val="00DC1C04"/>
    <w:rsid w:val="00DC21CC"/>
    <w:rsid w:val="00DC4646"/>
    <w:rsid w:val="00DC73F9"/>
    <w:rsid w:val="00DC7CCD"/>
    <w:rsid w:val="00DD19B7"/>
    <w:rsid w:val="00DD22BC"/>
    <w:rsid w:val="00DD2339"/>
    <w:rsid w:val="00DD2563"/>
    <w:rsid w:val="00DD4E4E"/>
    <w:rsid w:val="00DD7536"/>
    <w:rsid w:val="00DD7A2A"/>
    <w:rsid w:val="00DE0787"/>
    <w:rsid w:val="00DE0B30"/>
    <w:rsid w:val="00DE1E6B"/>
    <w:rsid w:val="00DE279C"/>
    <w:rsid w:val="00DE3321"/>
    <w:rsid w:val="00DE33A4"/>
    <w:rsid w:val="00DE52B4"/>
    <w:rsid w:val="00DF0C06"/>
    <w:rsid w:val="00DF14B1"/>
    <w:rsid w:val="00DF1A59"/>
    <w:rsid w:val="00DF35B5"/>
    <w:rsid w:val="00DF5F69"/>
    <w:rsid w:val="00DF761C"/>
    <w:rsid w:val="00DF779B"/>
    <w:rsid w:val="00E00210"/>
    <w:rsid w:val="00E0152C"/>
    <w:rsid w:val="00E02280"/>
    <w:rsid w:val="00E029E9"/>
    <w:rsid w:val="00E047D3"/>
    <w:rsid w:val="00E05248"/>
    <w:rsid w:val="00E05300"/>
    <w:rsid w:val="00E06B2D"/>
    <w:rsid w:val="00E06E06"/>
    <w:rsid w:val="00E074BB"/>
    <w:rsid w:val="00E108C6"/>
    <w:rsid w:val="00E11388"/>
    <w:rsid w:val="00E1147C"/>
    <w:rsid w:val="00E11FB2"/>
    <w:rsid w:val="00E12664"/>
    <w:rsid w:val="00E1274D"/>
    <w:rsid w:val="00E13203"/>
    <w:rsid w:val="00E135BE"/>
    <w:rsid w:val="00E13CA2"/>
    <w:rsid w:val="00E14D5C"/>
    <w:rsid w:val="00E14E8B"/>
    <w:rsid w:val="00E15545"/>
    <w:rsid w:val="00E15AF3"/>
    <w:rsid w:val="00E161D1"/>
    <w:rsid w:val="00E1689F"/>
    <w:rsid w:val="00E1713A"/>
    <w:rsid w:val="00E17254"/>
    <w:rsid w:val="00E212BE"/>
    <w:rsid w:val="00E215E1"/>
    <w:rsid w:val="00E21FA4"/>
    <w:rsid w:val="00E22D11"/>
    <w:rsid w:val="00E22D24"/>
    <w:rsid w:val="00E22F24"/>
    <w:rsid w:val="00E2382F"/>
    <w:rsid w:val="00E24E5D"/>
    <w:rsid w:val="00E30938"/>
    <w:rsid w:val="00E3217C"/>
    <w:rsid w:val="00E32AD4"/>
    <w:rsid w:val="00E35478"/>
    <w:rsid w:val="00E360AC"/>
    <w:rsid w:val="00E36741"/>
    <w:rsid w:val="00E373AE"/>
    <w:rsid w:val="00E374A9"/>
    <w:rsid w:val="00E4030D"/>
    <w:rsid w:val="00E41597"/>
    <w:rsid w:val="00E4172D"/>
    <w:rsid w:val="00E4182E"/>
    <w:rsid w:val="00E4462D"/>
    <w:rsid w:val="00E44ECF"/>
    <w:rsid w:val="00E472D1"/>
    <w:rsid w:val="00E50413"/>
    <w:rsid w:val="00E52A0F"/>
    <w:rsid w:val="00E540A9"/>
    <w:rsid w:val="00E54180"/>
    <w:rsid w:val="00E54C09"/>
    <w:rsid w:val="00E55935"/>
    <w:rsid w:val="00E566F6"/>
    <w:rsid w:val="00E57237"/>
    <w:rsid w:val="00E62506"/>
    <w:rsid w:val="00E63F89"/>
    <w:rsid w:val="00E64BFD"/>
    <w:rsid w:val="00E64C4D"/>
    <w:rsid w:val="00E64EBF"/>
    <w:rsid w:val="00E6595B"/>
    <w:rsid w:val="00E70383"/>
    <w:rsid w:val="00E709DB"/>
    <w:rsid w:val="00E70F83"/>
    <w:rsid w:val="00E75B4B"/>
    <w:rsid w:val="00E764B3"/>
    <w:rsid w:val="00E76783"/>
    <w:rsid w:val="00E774EC"/>
    <w:rsid w:val="00E8016B"/>
    <w:rsid w:val="00E80617"/>
    <w:rsid w:val="00E8163D"/>
    <w:rsid w:val="00E83244"/>
    <w:rsid w:val="00E85B61"/>
    <w:rsid w:val="00E86E8F"/>
    <w:rsid w:val="00E87088"/>
    <w:rsid w:val="00E90363"/>
    <w:rsid w:val="00E91348"/>
    <w:rsid w:val="00E941F7"/>
    <w:rsid w:val="00E95DE7"/>
    <w:rsid w:val="00E95E66"/>
    <w:rsid w:val="00E966C3"/>
    <w:rsid w:val="00E97D6F"/>
    <w:rsid w:val="00E97EB0"/>
    <w:rsid w:val="00EA42FC"/>
    <w:rsid w:val="00EA4846"/>
    <w:rsid w:val="00EA4EB5"/>
    <w:rsid w:val="00EA5D2D"/>
    <w:rsid w:val="00EA64F7"/>
    <w:rsid w:val="00EB28FC"/>
    <w:rsid w:val="00EB2AB2"/>
    <w:rsid w:val="00EB2B4A"/>
    <w:rsid w:val="00EB2B72"/>
    <w:rsid w:val="00EB5092"/>
    <w:rsid w:val="00EB67DA"/>
    <w:rsid w:val="00EC05ED"/>
    <w:rsid w:val="00EC286A"/>
    <w:rsid w:val="00EC29B6"/>
    <w:rsid w:val="00EC3571"/>
    <w:rsid w:val="00EC37A8"/>
    <w:rsid w:val="00EC6399"/>
    <w:rsid w:val="00EC67D5"/>
    <w:rsid w:val="00EC721B"/>
    <w:rsid w:val="00EC7B6C"/>
    <w:rsid w:val="00ED00C1"/>
    <w:rsid w:val="00ED059D"/>
    <w:rsid w:val="00ED11DD"/>
    <w:rsid w:val="00ED1D57"/>
    <w:rsid w:val="00ED308E"/>
    <w:rsid w:val="00ED3579"/>
    <w:rsid w:val="00ED36C0"/>
    <w:rsid w:val="00ED49A0"/>
    <w:rsid w:val="00ED6EE5"/>
    <w:rsid w:val="00ED7EF1"/>
    <w:rsid w:val="00EE1F4A"/>
    <w:rsid w:val="00EE359F"/>
    <w:rsid w:val="00EE37B2"/>
    <w:rsid w:val="00EE5F69"/>
    <w:rsid w:val="00EE610D"/>
    <w:rsid w:val="00EE6A58"/>
    <w:rsid w:val="00EE6D28"/>
    <w:rsid w:val="00EF10FE"/>
    <w:rsid w:val="00EF1778"/>
    <w:rsid w:val="00EF53F8"/>
    <w:rsid w:val="00EF59D3"/>
    <w:rsid w:val="00EF5B35"/>
    <w:rsid w:val="00EF76AC"/>
    <w:rsid w:val="00EF7BA0"/>
    <w:rsid w:val="00F0009E"/>
    <w:rsid w:val="00F00288"/>
    <w:rsid w:val="00F01A65"/>
    <w:rsid w:val="00F03745"/>
    <w:rsid w:val="00F03899"/>
    <w:rsid w:val="00F047B9"/>
    <w:rsid w:val="00F05CC5"/>
    <w:rsid w:val="00F10329"/>
    <w:rsid w:val="00F10CF9"/>
    <w:rsid w:val="00F12718"/>
    <w:rsid w:val="00F12B22"/>
    <w:rsid w:val="00F13C9F"/>
    <w:rsid w:val="00F14A56"/>
    <w:rsid w:val="00F14EF6"/>
    <w:rsid w:val="00F16E43"/>
    <w:rsid w:val="00F16FED"/>
    <w:rsid w:val="00F17570"/>
    <w:rsid w:val="00F17660"/>
    <w:rsid w:val="00F20D57"/>
    <w:rsid w:val="00F22550"/>
    <w:rsid w:val="00F2278F"/>
    <w:rsid w:val="00F23334"/>
    <w:rsid w:val="00F2738E"/>
    <w:rsid w:val="00F3016E"/>
    <w:rsid w:val="00F30981"/>
    <w:rsid w:val="00F316DE"/>
    <w:rsid w:val="00F32B31"/>
    <w:rsid w:val="00F35611"/>
    <w:rsid w:val="00F36498"/>
    <w:rsid w:val="00F379AA"/>
    <w:rsid w:val="00F44761"/>
    <w:rsid w:val="00F4679D"/>
    <w:rsid w:val="00F46AB3"/>
    <w:rsid w:val="00F474B2"/>
    <w:rsid w:val="00F50369"/>
    <w:rsid w:val="00F50692"/>
    <w:rsid w:val="00F50EA9"/>
    <w:rsid w:val="00F5155D"/>
    <w:rsid w:val="00F5173D"/>
    <w:rsid w:val="00F52276"/>
    <w:rsid w:val="00F522A3"/>
    <w:rsid w:val="00F52615"/>
    <w:rsid w:val="00F5295B"/>
    <w:rsid w:val="00F52B04"/>
    <w:rsid w:val="00F565B8"/>
    <w:rsid w:val="00F572AF"/>
    <w:rsid w:val="00F572DD"/>
    <w:rsid w:val="00F575A7"/>
    <w:rsid w:val="00F60831"/>
    <w:rsid w:val="00F61663"/>
    <w:rsid w:val="00F622FD"/>
    <w:rsid w:val="00F62EF0"/>
    <w:rsid w:val="00F630EC"/>
    <w:rsid w:val="00F64A36"/>
    <w:rsid w:val="00F65A20"/>
    <w:rsid w:val="00F65AD3"/>
    <w:rsid w:val="00F70531"/>
    <w:rsid w:val="00F71128"/>
    <w:rsid w:val="00F71E53"/>
    <w:rsid w:val="00F72EFC"/>
    <w:rsid w:val="00F75993"/>
    <w:rsid w:val="00F75B63"/>
    <w:rsid w:val="00F76579"/>
    <w:rsid w:val="00F768AB"/>
    <w:rsid w:val="00F769FA"/>
    <w:rsid w:val="00F76A08"/>
    <w:rsid w:val="00F77C8D"/>
    <w:rsid w:val="00F77D66"/>
    <w:rsid w:val="00F80CA4"/>
    <w:rsid w:val="00F81B4A"/>
    <w:rsid w:val="00F81D9A"/>
    <w:rsid w:val="00F829A9"/>
    <w:rsid w:val="00F8457D"/>
    <w:rsid w:val="00F84CA1"/>
    <w:rsid w:val="00F84E46"/>
    <w:rsid w:val="00F85DC4"/>
    <w:rsid w:val="00F85DCD"/>
    <w:rsid w:val="00F860CE"/>
    <w:rsid w:val="00F875D2"/>
    <w:rsid w:val="00F90490"/>
    <w:rsid w:val="00F90877"/>
    <w:rsid w:val="00F908CC"/>
    <w:rsid w:val="00F93577"/>
    <w:rsid w:val="00F93A16"/>
    <w:rsid w:val="00F94AE4"/>
    <w:rsid w:val="00F95EA0"/>
    <w:rsid w:val="00F967FC"/>
    <w:rsid w:val="00F97211"/>
    <w:rsid w:val="00F97389"/>
    <w:rsid w:val="00F976AC"/>
    <w:rsid w:val="00F97B09"/>
    <w:rsid w:val="00FA12AD"/>
    <w:rsid w:val="00FA1C85"/>
    <w:rsid w:val="00FA3864"/>
    <w:rsid w:val="00FA43C3"/>
    <w:rsid w:val="00FA48E5"/>
    <w:rsid w:val="00FA6964"/>
    <w:rsid w:val="00FA6D1C"/>
    <w:rsid w:val="00FB19A9"/>
    <w:rsid w:val="00FB7585"/>
    <w:rsid w:val="00FB78F2"/>
    <w:rsid w:val="00FC0074"/>
    <w:rsid w:val="00FC0295"/>
    <w:rsid w:val="00FC097D"/>
    <w:rsid w:val="00FC0A54"/>
    <w:rsid w:val="00FC1832"/>
    <w:rsid w:val="00FC2F2E"/>
    <w:rsid w:val="00FC3A41"/>
    <w:rsid w:val="00FD0AAC"/>
    <w:rsid w:val="00FD314F"/>
    <w:rsid w:val="00FD3F68"/>
    <w:rsid w:val="00FD484E"/>
    <w:rsid w:val="00FD516E"/>
    <w:rsid w:val="00FD6099"/>
    <w:rsid w:val="00FD668C"/>
    <w:rsid w:val="00FD6BBF"/>
    <w:rsid w:val="00FD707C"/>
    <w:rsid w:val="00FE1642"/>
    <w:rsid w:val="00FE51BD"/>
    <w:rsid w:val="00FE52EA"/>
    <w:rsid w:val="00FE5DC2"/>
    <w:rsid w:val="00FE5DC3"/>
    <w:rsid w:val="00FE6A60"/>
    <w:rsid w:val="00FF1779"/>
    <w:rsid w:val="00FF1981"/>
    <w:rsid w:val="00FF2340"/>
    <w:rsid w:val="00FF2AC3"/>
    <w:rsid w:val="00FF55D8"/>
    <w:rsid w:val="00FF60C7"/>
    <w:rsid w:val="00FF7392"/>
    <w:rsid w:val="023B43DC"/>
    <w:rsid w:val="074D26E8"/>
    <w:rsid w:val="087C01DC"/>
    <w:rsid w:val="0A1524FB"/>
    <w:rsid w:val="0BCFE83B"/>
    <w:rsid w:val="0D670427"/>
    <w:rsid w:val="0FA15CC9"/>
    <w:rsid w:val="167F9ACF"/>
    <w:rsid w:val="1A7D41CF"/>
    <w:rsid w:val="1FD3237E"/>
    <w:rsid w:val="21CE0EBF"/>
    <w:rsid w:val="2DF28C2D"/>
    <w:rsid w:val="359A04D8"/>
    <w:rsid w:val="37FFEE12"/>
    <w:rsid w:val="391C63D3"/>
    <w:rsid w:val="3F5D44B0"/>
    <w:rsid w:val="3FDD31A6"/>
    <w:rsid w:val="47FE382E"/>
    <w:rsid w:val="4BB12688"/>
    <w:rsid w:val="57FFF6A2"/>
    <w:rsid w:val="5BAE3879"/>
    <w:rsid w:val="5DD7D5F4"/>
    <w:rsid w:val="64B86B45"/>
    <w:rsid w:val="6CFF6525"/>
    <w:rsid w:val="6F2C465B"/>
    <w:rsid w:val="6FCA1CDA"/>
    <w:rsid w:val="73CC058A"/>
    <w:rsid w:val="753A81DE"/>
    <w:rsid w:val="77AFDB53"/>
    <w:rsid w:val="77DB5E5A"/>
    <w:rsid w:val="77F6F28E"/>
    <w:rsid w:val="7A6142D5"/>
    <w:rsid w:val="7AFF2A23"/>
    <w:rsid w:val="7BBF299D"/>
    <w:rsid w:val="7BEB435D"/>
    <w:rsid w:val="7BFE13F3"/>
    <w:rsid w:val="7BFF05D4"/>
    <w:rsid w:val="7D164783"/>
    <w:rsid w:val="7E854766"/>
    <w:rsid w:val="7E960D71"/>
    <w:rsid w:val="7EA75C3E"/>
    <w:rsid w:val="7F770515"/>
    <w:rsid w:val="7FB7B44A"/>
    <w:rsid w:val="7FF7DAAE"/>
    <w:rsid w:val="A6C94FDD"/>
    <w:rsid w:val="B5BD3F25"/>
    <w:rsid w:val="BDBF4D0B"/>
    <w:rsid w:val="BFBF38E2"/>
    <w:rsid w:val="BFE2AECB"/>
    <w:rsid w:val="C57FC555"/>
    <w:rsid w:val="D3FFDB72"/>
    <w:rsid w:val="D7B7BD1E"/>
    <w:rsid w:val="DD3592F5"/>
    <w:rsid w:val="DEC12E97"/>
    <w:rsid w:val="DF7B7B87"/>
    <w:rsid w:val="DFF76745"/>
    <w:rsid w:val="E7BE17CE"/>
    <w:rsid w:val="EF6BCB63"/>
    <w:rsid w:val="EFBFA6E3"/>
    <w:rsid w:val="F2D52A9F"/>
    <w:rsid w:val="F5FD33B3"/>
    <w:rsid w:val="F6EBCE29"/>
    <w:rsid w:val="F7B3D9D0"/>
    <w:rsid w:val="F8DF5169"/>
    <w:rsid w:val="FCEA9F82"/>
    <w:rsid w:val="FD3BF282"/>
    <w:rsid w:val="FEF7432C"/>
    <w:rsid w:val="FF6D6470"/>
    <w:rsid w:val="FF778D6C"/>
    <w:rsid w:val="FF7BD98F"/>
    <w:rsid w:val="FFD76E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Body Text"/>
    <w:basedOn w:val="1"/>
    <w:next w:val="1"/>
    <w:uiPriority w:val="0"/>
    <w:pPr>
      <w:widowControl/>
      <w:tabs>
        <w:tab w:val="left" w:pos="425"/>
      </w:tabs>
      <w:autoSpaceDE w:val="0"/>
      <w:autoSpaceDN w:val="0"/>
      <w:adjustRightInd w:val="0"/>
      <w:spacing w:after="220" w:line="220" w:lineRule="atLeast"/>
      <w:ind w:firstLine="540"/>
      <w:jc w:val="left"/>
    </w:pPr>
    <w:rPr>
      <w:rFonts w:ascii="Calibri" w:hAnsi="Arial" w:eastAsia="宋体" w:cs="Times New Roman"/>
      <w:color w:val="000000"/>
      <w:kern w:val="0"/>
      <w:szCs w:val="22"/>
      <w:lang w:bidi="ar-SA"/>
    </w:rPr>
  </w:style>
  <w:style w:type="paragraph" w:styleId="3">
    <w:name w:val="Document Map"/>
    <w:basedOn w:val="1"/>
    <w:semiHidden/>
    <w:uiPriority w:val="0"/>
    <w:pPr>
      <w:shd w:val="clear" w:color="auto" w:fill="000080"/>
    </w:pPr>
  </w:style>
  <w:style w:type="paragraph" w:styleId="4">
    <w:name w:val="Date"/>
    <w:basedOn w:val="1"/>
    <w:next w:val="1"/>
    <w:link w:val="16"/>
    <w:uiPriority w:val="0"/>
    <w:pPr>
      <w:ind w:left="100" w:leftChars="2500"/>
    </w:pPr>
    <w:rPr>
      <w:rFonts w:ascii="仿宋_GB2312" w:eastAsia="仿宋_GB2312"/>
      <w:sz w:val="32"/>
    </w:rPr>
  </w:style>
  <w:style w:type="paragraph" w:styleId="5">
    <w:name w:val="Body Text Indent 2"/>
    <w:basedOn w:val="1"/>
    <w:uiPriority w:val="0"/>
    <w:pPr>
      <w:spacing w:after="120" w:line="480" w:lineRule="auto"/>
      <w:ind w:left="420" w:leftChars="200"/>
    </w:pPr>
    <w:rPr>
      <w:rFonts w:ascii="Calibri" w:hAnsi="Calibri" w:eastAsia="宋体" w:cs="Times New Roman"/>
      <w:szCs w:val="22"/>
      <w:lang w:bidi="ar-SA"/>
    </w:rPr>
  </w:style>
  <w:style w:type="paragraph" w:styleId="6">
    <w:name w:val="Balloon Text"/>
    <w:basedOn w:val="1"/>
    <w:link w:val="17"/>
    <w:semiHidden/>
    <w:uiPriority w:val="0"/>
    <w:rPr>
      <w:sz w:val="18"/>
      <w:szCs w:val="18"/>
    </w:rPr>
  </w:style>
  <w:style w:type="paragraph" w:styleId="7">
    <w:name w:val="footer"/>
    <w:basedOn w:val="1"/>
    <w:link w:val="18"/>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 w:type="character" w:styleId="11">
    <w:name w:val="Hyperlink"/>
    <w:uiPriority w:val="0"/>
    <w:rPr>
      <w:rFonts w:ascii="Times New Roman" w:hAnsi="Times New Roman" w:eastAsia="宋体" w:cs="Times New Roman"/>
      <w:color w:val="0000FF"/>
      <w:u w:val="single"/>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 Char"/>
    <w:basedOn w:val="1"/>
    <w:uiPriority w:val="0"/>
    <w:rPr>
      <w:rFonts w:ascii="Times New Roman" w:hAnsi="Times New Roman" w:eastAsia="宋体" w:cs="Times New Roman"/>
      <w:sz w:val="32"/>
      <w:szCs w:val="32"/>
      <w:lang w:bidi="ar-SA"/>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6">
    <w:name w:val=" Char Char2"/>
    <w:basedOn w:val="9"/>
    <w:link w:val="4"/>
    <w:uiPriority w:val="0"/>
    <w:rPr>
      <w:rFonts w:ascii="仿宋_GB2312" w:hAnsi="Times New Roman" w:eastAsia="仿宋_GB2312" w:cs="Times New Roman"/>
      <w:kern w:val="2"/>
      <w:sz w:val="32"/>
      <w:szCs w:val="24"/>
      <w:lang w:bidi="ar-SA"/>
    </w:rPr>
  </w:style>
  <w:style w:type="character" w:customStyle="1" w:styleId="17">
    <w:name w:val="批注框文本 Char"/>
    <w:link w:val="6"/>
    <w:uiPriority w:val="0"/>
    <w:rPr>
      <w:rFonts w:ascii="Times New Roman" w:hAnsi="Times New Roman" w:eastAsia="宋体" w:cs="Times New Roman"/>
      <w:sz w:val="18"/>
      <w:szCs w:val="18"/>
    </w:rPr>
  </w:style>
  <w:style w:type="character" w:customStyle="1" w:styleId="18">
    <w:name w:val=" Char Char"/>
    <w:basedOn w:val="9"/>
    <w:link w:val="7"/>
    <w:semiHidden/>
    <w:uiPriority w:val="99"/>
    <w:rPr>
      <w:rFonts w:ascii="Calibri" w:hAnsi="Calibri" w:eastAsia="宋体" w:cs="Mongolian Baiti"/>
      <w:kern w:val="2"/>
      <w:sz w:val="18"/>
      <w:szCs w:val="22"/>
    </w:rPr>
  </w:style>
  <w:style w:type="character" w:customStyle="1" w:styleId="19">
    <w:name w:val=" Char Char1"/>
    <w:basedOn w:val="9"/>
    <w:link w:val="8"/>
    <w:semiHidden/>
    <w:uiPriority w:val="99"/>
    <w:rPr>
      <w:rFonts w:ascii="Calibri" w:hAnsi="Calibri" w:eastAsia="宋体" w:cs="Mongolian Baiti"/>
      <w:kern w:val="2"/>
      <w:sz w:val="18"/>
      <w:szCs w:val="22"/>
    </w:rPr>
  </w:style>
  <w:style w:type="character" w:customStyle="1" w:styleId="20">
    <w:name w:val="页脚 Char"/>
    <w:uiPriority w:val="0"/>
    <w:rPr>
      <w:rFonts w:ascii="Calibri" w:hAnsi="Calibri" w:eastAsia="宋体" w:cs="Times New Roman"/>
      <w:kern w:val="2"/>
      <w:sz w:val="18"/>
      <w:szCs w:val="18"/>
    </w:rPr>
  </w:style>
  <w:style w:type="character" w:customStyle="1" w:styleId="21">
    <w:name w:val="日期 Char"/>
    <w:uiPriority w:val="0"/>
    <w:rPr>
      <w:rFonts w:ascii="Calibri" w:hAnsi="Calibri" w:eastAsia="宋体" w:cs="Times New Roman"/>
      <w:kern w:val="2"/>
      <w:sz w:val="21"/>
      <w:szCs w:val="22"/>
    </w:rPr>
  </w:style>
  <w:style w:type="table" w:customStyle="1" w:styleId="22">
    <w:name w:val="网格型1"/>
    <w:basedOn w:val="12"/>
    <w:uiPriority w:val="59"/>
    <w:rPr>
      <w:rFonts w:ascii="Calibri" w:hAnsi="Calibri" w:eastAsia="宋体" w:cs="Times New Roman"/>
      <w:kern w:val="2"/>
      <w:sz w:val="21"/>
      <w:szCs w:val="22"/>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admin</cp:lastModifiedBy>
  <cp:lastPrinted>2021-12-07T00:33:10Z</cp:lastPrinted>
  <dcterms:modified xsi:type="dcterms:W3CDTF">2021-12-07T10:27:35Z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