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80" w:lineRule="exact"/>
        <w:jc w:val="center"/>
        <w:rPr>
          <w:rFonts w:ascii="方正小标宋_GBK" w:hAnsi="仿宋" w:eastAsia="方正小标宋_GBK"/>
          <w:sz w:val="44"/>
          <w:szCs w:val="44"/>
        </w:rPr>
      </w:pPr>
      <w:r>
        <w:rPr>
          <w:rFonts w:hint="eastAsia" w:ascii="方正小标宋_GBK" w:hAnsi="仿宋" w:eastAsia="方正小标宋_GBK"/>
          <w:sz w:val="44"/>
          <w:szCs w:val="44"/>
        </w:rPr>
        <w:t>内蒙古自治区人民政府</w:t>
      </w:r>
    </w:p>
    <w:p>
      <w:pPr>
        <w:topLinePunct/>
        <w:spacing w:line="580" w:lineRule="exact"/>
        <w:jc w:val="center"/>
        <w:rPr>
          <w:rFonts w:hint="eastAsia" w:ascii="方正小标宋_GBK" w:hAnsi="仿宋" w:eastAsia="方正小标宋_GBK"/>
          <w:sz w:val="44"/>
          <w:szCs w:val="44"/>
        </w:rPr>
      </w:pPr>
      <w:r>
        <w:rPr>
          <w:rFonts w:hint="eastAsia" w:ascii="方正小标宋_GBK" w:hAnsi="仿宋" w:eastAsia="方正小标宋_GBK"/>
          <w:sz w:val="44"/>
          <w:szCs w:val="44"/>
        </w:rPr>
        <w:t>关于进一步加强法律援助工作的意见</w:t>
      </w:r>
    </w:p>
    <w:p>
      <w:pPr>
        <w:topLinePunct/>
        <w:spacing w:line="580" w:lineRule="exact"/>
        <w:jc w:val="center"/>
        <w:rPr>
          <w:rFonts w:hint="eastAsia" w:ascii="方正小标宋_GBK" w:hAnsi="仿宋" w:eastAsia="方正小标宋_GBK"/>
          <w:sz w:val="44"/>
          <w:szCs w:val="44"/>
        </w:rPr>
      </w:pPr>
    </w:p>
    <w:p>
      <w:pPr>
        <w:topLinePunct/>
        <w:spacing w:line="580" w:lineRule="exact"/>
        <w:jc w:val="center"/>
        <w:rPr>
          <w:rFonts w:hint="eastAsia" w:ascii="方正小标宋_GBK" w:hAnsi="仿宋" w:eastAsia="方正小标宋_GBK"/>
          <w:sz w:val="44"/>
          <w:szCs w:val="44"/>
        </w:rPr>
      </w:pPr>
      <w:r>
        <w:rPr>
          <w:rFonts w:hint="eastAsia" w:ascii="仿宋" w:hAnsi="仿宋" w:eastAsia="仿宋"/>
          <w:sz w:val="32"/>
          <w:szCs w:val="32"/>
        </w:rPr>
        <w:t>内政发〔</w:t>
      </w:r>
      <w:r>
        <w:rPr>
          <w:rFonts w:ascii="仿宋" w:hAnsi="仿宋" w:eastAsia="仿宋"/>
          <w:sz w:val="32"/>
          <w:szCs w:val="32"/>
        </w:rPr>
        <w:t>2023〕7号</w:t>
      </w:r>
    </w:p>
    <w:p>
      <w:pPr>
        <w:topLinePunct/>
        <w:spacing w:line="580" w:lineRule="exact"/>
        <w:rPr>
          <w:rFonts w:hint="eastAsia" w:ascii="仿宋" w:hAnsi="仿宋" w:eastAsia="仿宋"/>
          <w:sz w:val="11"/>
          <w:szCs w:val="11"/>
        </w:rPr>
      </w:pPr>
      <w:bookmarkStart w:id="0" w:name="主送单位"/>
      <w:bookmarkEnd w:id="0"/>
      <w:bookmarkStart w:id="1" w:name="正文文件"/>
      <w:bookmarkEnd w:id="1"/>
    </w:p>
    <w:p>
      <w:pPr>
        <w:topLinePunct/>
        <w:snapToGrid w:val="0"/>
        <w:spacing w:line="580" w:lineRule="exact"/>
        <w:rPr>
          <w:rFonts w:hint="eastAsia" w:ascii="仿宋" w:hAnsi="仿宋" w:eastAsia="仿宋" w:cs="仿宋_GB2312"/>
          <w:sz w:val="32"/>
          <w:szCs w:val="32"/>
        </w:rPr>
      </w:pPr>
      <w:bookmarkStart w:id="4" w:name="_GoBack"/>
      <w:r>
        <w:rPr>
          <w:rFonts w:hint="eastAsia" w:ascii="仿宋" w:hAnsi="仿宋" w:eastAsia="仿宋" w:cs="仿宋_GB2312"/>
          <w:sz w:val="32"/>
          <w:szCs w:val="32"/>
        </w:rPr>
        <w:t>各盟行政公署、市人民政府，各旗县人民政府，自治区各委、办、厅、局，各大企业、事业单位：</w:t>
      </w:r>
    </w:p>
    <w:p>
      <w:pPr>
        <w:topLinePunct/>
        <w:snapToGrid w:val="0"/>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为深入贯彻实施《中华人民共和国法律援助法》（以下简称《法律援助法》），进一步加强全区法律援助工作，更好地发挥法律援助在服务经济社会发展中的作用，结合自治区实际，提出如下意见。</w:t>
      </w:r>
    </w:p>
    <w:p>
      <w:pPr>
        <w:topLinePunct/>
        <w:snapToGrid w:val="0"/>
        <w:spacing w:line="580" w:lineRule="exact"/>
        <w:ind w:firstLine="644"/>
        <w:outlineLvl w:val="0"/>
        <w:rPr>
          <w:rFonts w:hint="eastAsia" w:ascii="黑体" w:hAnsi="黑体" w:eastAsia="黑体" w:cs="黑体"/>
          <w:sz w:val="32"/>
          <w:szCs w:val="32"/>
        </w:rPr>
      </w:pPr>
      <w:r>
        <w:rPr>
          <w:rFonts w:hint="eastAsia" w:ascii="黑体" w:hAnsi="黑体" w:eastAsia="黑体" w:cs="黑体"/>
          <w:sz w:val="32"/>
          <w:szCs w:val="32"/>
        </w:rPr>
        <w:t>一、充分认识《法律援助法》颁布实施的重要意义</w:t>
      </w:r>
    </w:p>
    <w:p>
      <w:pPr>
        <w:topLinePunct/>
        <w:snapToGrid w:val="0"/>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习近平总书记在党的二十大报告中指出“公正司法是维护社会公平正义的最后一道防线。深化司法体制综合配套改革，全面准确落实司法责任制，加快建设公正高效权威的社会主义司法</w:t>
      </w:r>
      <w:r>
        <w:rPr>
          <w:rFonts w:hint="eastAsia" w:ascii="仿宋" w:hAnsi="仿宋" w:eastAsia="仿宋" w:cs="仿宋_GB2312"/>
          <w:spacing w:val="6"/>
          <w:sz w:val="32"/>
          <w:szCs w:val="32"/>
        </w:rPr>
        <w:t>制度，努力让人民群众在每一个司法案件中感受到公平正义。”</w:t>
      </w:r>
      <w:r>
        <w:rPr>
          <w:rFonts w:hint="eastAsia" w:ascii="仿宋" w:hAnsi="仿宋" w:eastAsia="仿宋" w:cs="仿宋_GB2312"/>
          <w:sz w:val="32"/>
          <w:szCs w:val="32"/>
        </w:rPr>
        <w:t>法律援助制度是中国特色社会主义司法制度的重要组成部分，是体现社会公平正义和国家法治文明程度的重要标志。各地区各部门要坚持以习近平新时代中国特色社会主义思想为指导，全面贯彻党的二十大精神，深入贯彻习近平法治思想，认真贯彻习近平总书记关于法律援助工作的重要指示精神，全面准确学习领会《法律援助法》的立法精神和实践要求，高度重视法律援助工作，切实承担起法律援助的责任，进一步完善人权司法保障制度，提高公共法律服务水平，不断增强人民群众法治获得感。</w:t>
      </w:r>
    </w:p>
    <w:p>
      <w:pPr>
        <w:topLinePunct/>
        <w:snapToGrid w:val="0"/>
        <w:spacing w:line="580" w:lineRule="exact"/>
        <w:ind w:firstLine="644"/>
        <w:rPr>
          <w:rFonts w:hint="eastAsia" w:ascii="黑体" w:hAnsi="黑体" w:eastAsia="黑体"/>
          <w:sz w:val="32"/>
          <w:szCs w:val="32"/>
        </w:rPr>
      </w:pPr>
      <w:r>
        <w:rPr>
          <w:rFonts w:hint="eastAsia" w:ascii="黑体" w:hAnsi="黑体" w:eastAsia="黑体"/>
          <w:sz w:val="32"/>
          <w:szCs w:val="32"/>
        </w:rPr>
        <w:t>二、</w:t>
      </w:r>
      <w:r>
        <w:rPr>
          <w:rFonts w:hint="eastAsia" w:ascii="黑体" w:hAnsi="黑体" w:eastAsia="黑体" w:cs="黑体"/>
          <w:sz w:val="32"/>
          <w:szCs w:val="32"/>
        </w:rPr>
        <w:t>明确法律援助事项范围和补贴标准</w:t>
      </w:r>
    </w:p>
    <w:p>
      <w:pPr>
        <w:topLinePunct/>
        <w:snapToGrid w:val="0"/>
        <w:spacing w:line="580" w:lineRule="exact"/>
        <w:ind w:firstLine="640" w:firstLineChars="200"/>
        <w:rPr>
          <w:rFonts w:hint="eastAsia" w:ascii="仿宋" w:hAnsi="仿宋" w:eastAsia="仿宋" w:cs="仿宋_GB2312"/>
          <w:sz w:val="32"/>
          <w:szCs w:val="32"/>
        </w:rPr>
      </w:pPr>
      <w:r>
        <w:rPr>
          <w:rFonts w:hint="eastAsia" w:ascii="楷体" w:hAnsi="楷体" w:eastAsia="楷体" w:cs="黑体"/>
          <w:sz w:val="32"/>
          <w:szCs w:val="32"/>
        </w:rPr>
        <w:t>（一）法律援助事项范围。</w:t>
      </w:r>
      <w:r>
        <w:rPr>
          <w:rFonts w:hint="eastAsia" w:ascii="仿宋" w:hAnsi="仿宋" w:eastAsia="仿宋" w:cs="仿宋_GB2312"/>
          <w:sz w:val="32"/>
          <w:szCs w:val="32"/>
        </w:rPr>
        <w:t>根据《法律援助法》规定，下列事项属于法律援助事项范围：</w:t>
      </w:r>
    </w:p>
    <w:p>
      <w:pPr>
        <w:topLinePunct/>
        <w:snapToGrid w:val="0"/>
        <w:spacing w:line="580" w:lineRule="exact"/>
        <w:ind w:firstLine="640" w:firstLineChars="200"/>
        <w:rPr>
          <w:rFonts w:hint="eastAsia" w:ascii="仿宋" w:hAnsi="仿宋" w:eastAsia="仿宋" w:cs="仿宋_GB2312"/>
          <w:sz w:val="32"/>
          <w:szCs w:val="32"/>
        </w:rPr>
      </w:pPr>
      <w:r>
        <w:rPr>
          <w:rFonts w:ascii="仿宋" w:hAnsi="仿宋" w:eastAsia="仿宋"/>
          <w:sz w:val="32"/>
          <w:szCs w:val="32"/>
        </w:rPr>
        <w:t>1</w:t>
      </w:r>
      <w:r>
        <w:rPr>
          <w:rFonts w:hint="eastAsia" w:ascii="仿宋" w:hAnsi="仿宋" w:eastAsia="仿宋" w:cs="仿宋_GB2312"/>
          <w:sz w:val="32"/>
          <w:szCs w:val="32"/>
        </w:rPr>
        <w:t>.刑事案件：</w:t>
      </w:r>
    </w:p>
    <w:p>
      <w:pPr>
        <w:topLinePunct/>
        <w:snapToGrid w:val="0"/>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sz w:val="32"/>
          <w:szCs w:val="32"/>
        </w:rPr>
        <w:t>1</w:t>
      </w:r>
      <w:r>
        <w:rPr>
          <w:rFonts w:hint="eastAsia" w:ascii="仿宋" w:hAnsi="仿宋" w:eastAsia="仿宋" w:cs="仿宋_GB2312"/>
          <w:sz w:val="32"/>
          <w:szCs w:val="32"/>
        </w:rPr>
        <w:t>）刑事案件的犯罪嫌疑人、被告人因经济困难或者其他原因没有委托辩护人的，本人及其近亲属可以向法律援助机构申请法律援助；</w:t>
      </w:r>
    </w:p>
    <w:p>
      <w:pPr>
        <w:topLinePunct/>
        <w:snapToGrid w:val="0"/>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sz w:val="32"/>
          <w:szCs w:val="32"/>
        </w:rPr>
        <w:t>2</w:t>
      </w:r>
      <w:r>
        <w:rPr>
          <w:rFonts w:hint="eastAsia" w:ascii="仿宋" w:hAnsi="仿宋" w:eastAsia="仿宋" w:cs="仿宋_GB2312"/>
          <w:sz w:val="32"/>
          <w:szCs w:val="32"/>
        </w:rPr>
        <w:t>）</w:t>
      </w:r>
      <w:r>
        <w:rPr>
          <w:rFonts w:hint="eastAsia" w:ascii="仿宋" w:hAnsi="仿宋" w:eastAsia="仿宋" w:cs="仿宋_GB2312"/>
          <w:spacing w:val="-4"/>
          <w:sz w:val="32"/>
          <w:szCs w:val="32"/>
        </w:rPr>
        <w:t>刑事案件的犯罪嫌疑人、被告人属于未成年人，视力、听力、言语残疾人，不能完全辨认自己行为的成年人，</w:t>
      </w:r>
      <w:r>
        <w:rPr>
          <w:rFonts w:hint="eastAsia" w:ascii="仿宋" w:hAnsi="仿宋" w:eastAsia="仿宋" w:cs="仿宋_GB2312"/>
          <w:sz w:val="32"/>
          <w:szCs w:val="32"/>
        </w:rPr>
        <w:t>可能被判处无期徒刑、死刑的人，申请法律援助的死刑复核案件被告人，缺席审判案件的被告人，法律法规规定的其他人员且没有委托辩护人的，人民法院、人民检察院、公安机关应当通知法律援助机构指派律师担任辩护人；</w:t>
      </w:r>
    </w:p>
    <w:p>
      <w:pPr>
        <w:topLinePunct/>
        <w:snapToGrid w:val="0"/>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sz w:val="32"/>
          <w:szCs w:val="32"/>
        </w:rPr>
        <w:t>3</w:t>
      </w:r>
      <w:r>
        <w:rPr>
          <w:rFonts w:hint="eastAsia" w:ascii="仿宋" w:hAnsi="仿宋" w:eastAsia="仿宋" w:cs="仿宋_GB2312"/>
          <w:sz w:val="32"/>
          <w:szCs w:val="32"/>
        </w:rPr>
        <w:t>）其他适用普通程序审理的刑事案件，被告人没有委托辩护人的，人民法院可以通知法律援助机构指派律师担任辩护人；</w:t>
      </w:r>
    </w:p>
    <w:p>
      <w:pPr>
        <w:topLinePunct/>
        <w:snapToGrid w:val="0"/>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sz w:val="32"/>
          <w:szCs w:val="32"/>
        </w:rPr>
        <w:t>4</w:t>
      </w:r>
      <w:r>
        <w:rPr>
          <w:rFonts w:hint="eastAsia" w:ascii="仿宋" w:hAnsi="仿宋" w:eastAsia="仿宋" w:cs="仿宋_GB2312"/>
          <w:sz w:val="32"/>
          <w:szCs w:val="32"/>
        </w:rPr>
        <w:t>）刑事公诉案件的被害人及其法定代理人或者近亲属，刑事自诉案件的自诉人及其法定代理人，刑事附带民事诉讼案件的原告人及其法定代理人，因经济困难没有委托诉讼代理人的，可以向法律援助机构申请法律援助；</w:t>
      </w:r>
    </w:p>
    <w:p>
      <w:pPr>
        <w:topLinePunct/>
        <w:snapToGrid w:val="0"/>
        <w:spacing w:line="580" w:lineRule="exact"/>
        <w:ind w:firstLine="640" w:firstLineChars="200"/>
        <w:rPr>
          <w:rFonts w:hint="eastAsia" w:ascii="仿宋" w:hAnsi="仿宋" w:eastAsia="仿宋" w:cs="仿宋_GB2312"/>
          <w:spacing w:val="-4"/>
          <w:sz w:val="32"/>
          <w:szCs w:val="32"/>
        </w:rPr>
      </w:pPr>
      <w:r>
        <w:rPr>
          <w:rFonts w:hint="eastAsia" w:ascii="仿宋" w:hAnsi="仿宋" w:eastAsia="仿宋" w:cs="仿宋_GB2312"/>
          <w:sz w:val="32"/>
          <w:szCs w:val="32"/>
        </w:rPr>
        <w:t>（</w:t>
      </w:r>
      <w:r>
        <w:rPr>
          <w:rFonts w:hint="eastAsia" w:ascii="仿宋" w:hAnsi="仿宋" w:eastAsia="仿宋"/>
          <w:sz w:val="32"/>
          <w:szCs w:val="32"/>
        </w:rPr>
        <w:t>5</w:t>
      </w:r>
      <w:r>
        <w:rPr>
          <w:rFonts w:hint="eastAsia" w:ascii="仿宋" w:hAnsi="仿宋" w:eastAsia="仿宋" w:cs="仿宋_GB2312"/>
          <w:sz w:val="32"/>
          <w:szCs w:val="32"/>
        </w:rPr>
        <w:t>）</w:t>
      </w:r>
      <w:r>
        <w:rPr>
          <w:rFonts w:hint="eastAsia" w:ascii="仿宋" w:hAnsi="仿宋" w:eastAsia="仿宋" w:cs="仿宋_GB2312"/>
          <w:spacing w:val="-4"/>
          <w:sz w:val="32"/>
          <w:szCs w:val="32"/>
        </w:rPr>
        <w:t>强制医疗案件的被申请人或者被告人没有委托诉讼代理人的，人民法院应当通知法律援助机构指派律师为其提供法律援助。</w:t>
      </w:r>
    </w:p>
    <w:p>
      <w:pPr>
        <w:topLinePunct/>
        <w:snapToGrid w:val="0"/>
        <w:spacing w:line="580" w:lineRule="exact"/>
        <w:ind w:firstLine="640" w:firstLineChars="200"/>
        <w:rPr>
          <w:rFonts w:hint="eastAsia" w:ascii="仿宋" w:hAnsi="仿宋" w:eastAsia="仿宋" w:cs="仿宋_GB2312"/>
          <w:sz w:val="32"/>
          <w:szCs w:val="32"/>
        </w:rPr>
      </w:pPr>
      <w:r>
        <w:rPr>
          <w:rFonts w:hint="eastAsia" w:ascii="仿宋" w:hAnsi="仿宋" w:eastAsia="仿宋"/>
          <w:sz w:val="32"/>
          <w:szCs w:val="32"/>
        </w:rPr>
        <w:t>2</w:t>
      </w:r>
      <w:r>
        <w:rPr>
          <w:rFonts w:hint="eastAsia" w:ascii="仿宋" w:hAnsi="仿宋" w:eastAsia="仿宋" w:cs="仿宋_GB2312"/>
          <w:sz w:val="32"/>
          <w:szCs w:val="32"/>
        </w:rPr>
        <w:t>.民事案件：</w:t>
      </w:r>
    </w:p>
    <w:p>
      <w:pPr>
        <w:topLinePunct/>
        <w:snapToGrid w:val="0"/>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sz w:val="32"/>
          <w:szCs w:val="32"/>
        </w:rPr>
        <w:t>1</w:t>
      </w:r>
      <w:r>
        <w:rPr>
          <w:rFonts w:hint="eastAsia" w:ascii="仿宋" w:hAnsi="仿宋" w:eastAsia="仿宋" w:cs="仿宋_GB2312"/>
          <w:sz w:val="32"/>
          <w:szCs w:val="32"/>
        </w:rPr>
        <w:t>）请求给予社会保险待遇或者社会救助；</w:t>
      </w:r>
    </w:p>
    <w:p>
      <w:pPr>
        <w:topLinePunct/>
        <w:snapToGrid w:val="0"/>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sz w:val="32"/>
          <w:szCs w:val="32"/>
        </w:rPr>
        <w:t>2</w:t>
      </w:r>
      <w:r>
        <w:rPr>
          <w:rFonts w:hint="eastAsia" w:ascii="仿宋" w:hAnsi="仿宋" w:eastAsia="仿宋" w:cs="仿宋_GB2312"/>
          <w:sz w:val="32"/>
          <w:szCs w:val="32"/>
        </w:rPr>
        <w:t>）请求发给抚恤金；</w:t>
      </w:r>
    </w:p>
    <w:p>
      <w:pPr>
        <w:topLinePunct/>
        <w:snapToGrid w:val="0"/>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sz w:val="32"/>
          <w:szCs w:val="32"/>
        </w:rPr>
        <w:t>3</w:t>
      </w:r>
      <w:r>
        <w:rPr>
          <w:rFonts w:hint="eastAsia" w:ascii="仿宋" w:hAnsi="仿宋" w:eastAsia="仿宋" w:cs="仿宋_GB2312"/>
          <w:sz w:val="32"/>
          <w:szCs w:val="32"/>
        </w:rPr>
        <w:t>）请求给付赡养费、抚养费、扶养费；</w:t>
      </w:r>
    </w:p>
    <w:p>
      <w:pPr>
        <w:topLinePunct/>
        <w:snapToGrid w:val="0"/>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sz w:val="32"/>
          <w:szCs w:val="32"/>
        </w:rPr>
        <w:t>4</w:t>
      </w:r>
      <w:r>
        <w:rPr>
          <w:rFonts w:hint="eastAsia" w:ascii="仿宋" w:hAnsi="仿宋" w:eastAsia="仿宋" w:cs="仿宋_GB2312"/>
          <w:sz w:val="32"/>
          <w:szCs w:val="32"/>
        </w:rPr>
        <w:t>）请求确认劳动关系或者支付劳动报酬；</w:t>
      </w:r>
    </w:p>
    <w:p>
      <w:pPr>
        <w:topLinePunct/>
        <w:snapToGrid w:val="0"/>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sz w:val="32"/>
          <w:szCs w:val="32"/>
        </w:rPr>
        <w:t>5</w:t>
      </w:r>
      <w:r>
        <w:rPr>
          <w:rFonts w:hint="eastAsia" w:ascii="仿宋" w:hAnsi="仿宋" w:eastAsia="仿宋" w:cs="仿宋_GB2312"/>
          <w:sz w:val="32"/>
          <w:szCs w:val="32"/>
        </w:rPr>
        <w:t>）请求认定公民无民事行为能力或者限制民事行为能力；</w:t>
      </w:r>
    </w:p>
    <w:p>
      <w:pPr>
        <w:topLinePunct/>
        <w:snapToGrid w:val="0"/>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sz w:val="32"/>
          <w:szCs w:val="32"/>
        </w:rPr>
        <w:t>6</w:t>
      </w:r>
      <w:r>
        <w:rPr>
          <w:rFonts w:hint="eastAsia" w:ascii="仿宋" w:hAnsi="仿宋" w:eastAsia="仿宋" w:cs="仿宋_GB2312"/>
          <w:sz w:val="32"/>
          <w:szCs w:val="32"/>
        </w:rPr>
        <w:t>）</w:t>
      </w:r>
      <w:r>
        <w:rPr>
          <w:rFonts w:hint="eastAsia" w:ascii="仿宋" w:hAnsi="仿宋" w:eastAsia="仿宋" w:cs="仿宋_GB2312"/>
          <w:spacing w:val="2"/>
          <w:sz w:val="32"/>
          <w:szCs w:val="32"/>
        </w:rPr>
        <w:t>请求工伤事故、交通事故、食品药品安全事故、医疗事故人身损害赔偿；</w:t>
      </w:r>
    </w:p>
    <w:p>
      <w:pPr>
        <w:topLinePunct/>
        <w:snapToGrid w:val="0"/>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sz w:val="32"/>
          <w:szCs w:val="32"/>
        </w:rPr>
        <w:t>7</w:t>
      </w:r>
      <w:r>
        <w:rPr>
          <w:rFonts w:hint="eastAsia" w:ascii="仿宋" w:hAnsi="仿宋" w:eastAsia="仿宋" w:cs="仿宋_GB2312"/>
          <w:sz w:val="32"/>
          <w:szCs w:val="32"/>
        </w:rPr>
        <w:t>）请求环境污染、生态破坏损害赔偿；</w:t>
      </w:r>
    </w:p>
    <w:p>
      <w:pPr>
        <w:topLinePunct/>
        <w:snapToGrid w:val="0"/>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sz w:val="32"/>
          <w:szCs w:val="32"/>
        </w:rPr>
        <w:t>8</w:t>
      </w:r>
      <w:r>
        <w:rPr>
          <w:rFonts w:hint="eastAsia" w:ascii="仿宋" w:hAnsi="仿宋" w:eastAsia="仿宋" w:cs="仿宋_GB2312"/>
          <w:sz w:val="32"/>
          <w:szCs w:val="32"/>
        </w:rPr>
        <w:t>）英雄烈士近亲属为维护英雄烈士的人格权益；</w:t>
      </w:r>
    </w:p>
    <w:p>
      <w:pPr>
        <w:topLinePunct/>
        <w:snapToGrid w:val="0"/>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sz w:val="32"/>
          <w:szCs w:val="32"/>
        </w:rPr>
        <w:t>9</w:t>
      </w:r>
      <w:r>
        <w:rPr>
          <w:rFonts w:hint="eastAsia" w:ascii="仿宋" w:hAnsi="仿宋" w:eastAsia="仿宋" w:cs="仿宋_GB2312"/>
          <w:sz w:val="32"/>
          <w:szCs w:val="32"/>
        </w:rPr>
        <w:t>）因见义勇为行为主张相关民事权益；</w:t>
      </w:r>
    </w:p>
    <w:p>
      <w:pPr>
        <w:topLinePunct/>
        <w:snapToGrid w:val="0"/>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sz w:val="32"/>
          <w:szCs w:val="32"/>
        </w:rPr>
        <w:t>10</w:t>
      </w:r>
      <w:r>
        <w:rPr>
          <w:rFonts w:hint="eastAsia" w:ascii="仿宋" w:hAnsi="仿宋" w:eastAsia="仿宋" w:cs="仿宋_GB2312"/>
          <w:sz w:val="32"/>
          <w:szCs w:val="32"/>
        </w:rPr>
        <w:t>）遭受虐待、遗弃或者家庭暴力的受害人主张相关权益；</w:t>
      </w:r>
    </w:p>
    <w:p>
      <w:pPr>
        <w:topLinePunct/>
        <w:snapToGrid w:val="0"/>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sz w:val="32"/>
          <w:szCs w:val="32"/>
        </w:rPr>
        <w:t>11</w:t>
      </w:r>
      <w:r>
        <w:rPr>
          <w:rFonts w:hint="eastAsia" w:ascii="仿宋" w:hAnsi="仿宋" w:eastAsia="仿宋" w:cs="仿宋_GB2312"/>
          <w:sz w:val="32"/>
          <w:szCs w:val="32"/>
        </w:rPr>
        <w:t>）法律、法规、规章规定的其他情形等事项。</w:t>
      </w:r>
    </w:p>
    <w:p>
      <w:pPr>
        <w:topLinePunct/>
        <w:snapToGrid w:val="0"/>
        <w:spacing w:line="580" w:lineRule="exact"/>
        <w:ind w:firstLine="628" w:firstLineChars="200"/>
        <w:rPr>
          <w:rFonts w:hint="eastAsia" w:ascii="仿宋" w:hAnsi="仿宋" w:eastAsia="仿宋" w:cs="仿宋_GB2312"/>
          <w:spacing w:val="-3"/>
          <w:sz w:val="32"/>
          <w:szCs w:val="32"/>
        </w:rPr>
      </w:pPr>
      <w:r>
        <w:rPr>
          <w:rFonts w:hint="eastAsia" w:ascii="仿宋" w:hAnsi="仿宋" w:eastAsia="仿宋" w:cs="仿宋_GB2312"/>
          <w:spacing w:val="-3"/>
          <w:sz w:val="32"/>
          <w:szCs w:val="32"/>
        </w:rPr>
        <w:t>3.行政案件：</w:t>
      </w:r>
    </w:p>
    <w:p>
      <w:pPr>
        <w:topLinePunct/>
        <w:snapToGrid w:val="0"/>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sz w:val="32"/>
          <w:szCs w:val="32"/>
        </w:rPr>
        <w:t>1</w:t>
      </w:r>
      <w:r>
        <w:rPr>
          <w:rFonts w:hint="eastAsia" w:ascii="仿宋" w:hAnsi="仿宋" w:eastAsia="仿宋" w:cs="仿宋_GB2312"/>
          <w:sz w:val="32"/>
          <w:szCs w:val="32"/>
        </w:rPr>
        <w:t>）依法请求国家赔偿；</w:t>
      </w:r>
    </w:p>
    <w:p>
      <w:pPr>
        <w:topLinePunct/>
        <w:snapToGrid w:val="0"/>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sz w:val="32"/>
          <w:szCs w:val="32"/>
        </w:rPr>
        <w:t>2</w:t>
      </w:r>
      <w:r>
        <w:rPr>
          <w:rFonts w:hint="eastAsia" w:ascii="仿宋" w:hAnsi="仿宋" w:eastAsia="仿宋" w:cs="仿宋_GB2312"/>
          <w:sz w:val="32"/>
          <w:szCs w:val="32"/>
        </w:rPr>
        <w:t>）法律、法规、规章规定的其他情形等事项。</w:t>
      </w:r>
    </w:p>
    <w:p>
      <w:pPr>
        <w:topLinePunct/>
        <w:snapToGrid w:val="0"/>
        <w:spacing w:line="580" w:lineRule="exact"/>
        <w:ind w:firstLine="628" w:firstLineChars="200"/>
        <w:rPr>
          <w:rFonts w:hint="eastAsia" w:ascii="仿宋" w:hAnsi="仿宋" w:eastAsia="仿宋" w:cs="仿宋_GB2312"/>
          <w:spacing w:val="-3"/>
          <w:sz w:val="32"/>
          <w:szCs w:val="32"/>
        </w:rPr>
      </w:pPr>
      <w:r>
        <w:rPr>
          <w:rFonts w:hint="eastAsia" w:ascii="仿宋" w:hAnsi="仿宋" w:eastAsia="仿宋" w:cs="仿宋_GB2312"/>
          <w:spacing w:val="-3"/>
          <w:sz w:val="32"/>
          <w:szCs w:val="32"/>
        </w:rPr>
        <w:t>4.其他案件：当事人不服司法机关生效裁判或者决定提出申诉</w:t>
      </w:r>
      <w:r>
        <w:rPr>
          <w:rFonts w:hint="eastAsia" w:ascii="仿宋" w:hAnsi="仿宋" w:eastAsia="仿宋" w:cs="仿宋_GB2312"/>
          <w:sz w:val="32"/>
          <w:szCs w:val="32"/>
        </w:rPr>
        <w:t>或者申请再审，人民法院决定、裁定再审或者人民检察院提出抗诉，</w:t>
      </w:r>
      <w:r>
        <w:rPr>
          <w:rFonts w:hint="eastAsia" w:ascii="仿宋" w:hAnsi="仿宋" w:eastAsia="仿宋" w:cs="仿宋_GB2312"/>
          <w:spacing w:val="-3"/>
          <w:sz w:val="32"/>
          <w:szCs w:val="32"/>
        </w:rPr>
        <w:t>因经济困难没有委托辩护人或者诉讼代理人的案件。</w:t>
      </w:r>
    </w:p>
    <w:p>
      <w:pPr>
        <w:topLinePunct/>
        <w:snapToGrid w:val="0"/>
        <w:spacing w:line="580" w:lineRule="exact"/>
        <w:ind w:firstLine="640" w:firstLineChars="200"/>
        <w:rPr>
          <w:rFonts w:hint="eastAsia" w:ascii="仿宋" w:hAnsi="仿宋" w:eastAsia="仿宋" w:cs="仿宋_GB2312"/>
          <w:spacing w:val="-3"/>
          <w:sz w:val="32"/>
          <w:szCs w:val="32"/>
        </w:rPr>
      </w:pPr>
      <w:r>
        <w:rPr>
          <w:rFonts w:hint="eastAsia" w:ascii="楷体" w:hAnsi="楷体" w:eastAsia="楷体" w:cs="黑体"/>
          <w:sz w:val="32"/>
          <w:szCs w:val="32"/>
        </w:rPr>
        <w:t>（二）法律援助补贴标准。</w:t>
      </w:r>
      <w:r>
        <w:rPr>
          <w:rFonts w:hint="eastAsia" w:ascii="仿宋" w:hAnsi="仿宋" w:eastAsia="仿宋" w:cs="仿宋_GB2312"/>
          <w:sz w:val="32"/>
          <w:szCs w:val="32"/>
        </w:rPr>
        <w:t>调整法律援助补</w:t>
      </w:r>
      <w:r>
        <w:rPr>
          <w:rFonts w:hint="eastAsia" w:ascii="仿宋" w:hAnsi="仿宋" w:eastAsia="仿宋" w:cs="仿宋_GB2312"/>
          <w:spacing w:val="-3"/>
          <w:sz w:val="32"/>
          <w:szCs w:val="32"/>
        </w:rPr>
        <w:t>贴标准，</w:t>
      </w:r>
      <w:r>
        <w:rPr>
          <w:rFonts w:hint="eastAsia" w:ascii="仿宋" w:hAnsi="仿宋" w:eastAsia="仿宋" w:cs="仿宋_GB2312"/>
          <w:sz w:val="32"/>
          <w:szCs w:val="32"/>
        </w:rPr>
        <w:t>根据律师承办案件成本、基本劳务费用等因素，适当提高法律援助补贴标准。</w:t>
      </w:r>
      <w:r>
        <w:rPr>
          <w:rFonts w:hint="eastAsia" w:ascii="仿宋" w:hAnsi="仿宋" w:eastAsia="仿宋" w:cs="仿宋_GB2312"/>
          <w:spacing w:val="-3"/>
          <w:sz w:val="32"/>
          <w:szCs w:val="32"/>
        </w:rPr>
        <w:t>刑事法律援助案件每案一般补贴</w:t>
      </w:r>
      <w:r>
        <w:rPr>
          <w:rFonts w:hint="eastAsia" w:ascii="仿宋" w:hAnsi="仿宋" w:eastAsia="仿宋"/>
          <w:spacing w:val="-3"/>
          <w:sz w:val="32"/>
          <w:szCs w:val="32"/>
        </w:rPr>
        <w:t>800元至1600元，民事、行政法律援助案件每案一般补贴1000元至1800元。死刑二审案件沿用一审律师或从刑事被告人羁押地重新指派律师的每案一般补贴1400元至2600元。个别需要异地取证和疑难复杂的案件，经受案法律援助机构负责人核准后可适当增加法律援助补贴。法律援助值班律师每个工作日补贴200</w:t>
      </w:r>
      <w:r>
        <w:rPr>
          <w:rFonts w:hint="eastAsia" w:ascii="仿宋" w:hAnsi="仿宋" w:eastAsia="仿宋" w:cs="仿宋_GB2312"/>
          <w:spacing w:val="-3"/>
          <w:sz w:val="32"/>
          <w:szCs w:val="32"/>
        </w:rPr>
        <w:t>元</w:t>
      </w:r>
      <w:r>
        <w:rPr>
          <w:rFonts w:hint="eastAsia" w:ascii="仿宋" w:hAnsi="仿宋" w:eastAsia="仿宋"/>
          <w:spacing w:val="-3"/>
          <w:sz w:val="32"/>
          <w:szCs w:val="32"/>
        </w:rPr>
        <w:t>至500</w:t>
      </w:r>
      <w:r>
        <w:rPr>
          <w:rFonts w:hint="eastAsia" w:ascii="仿宋" w:hAnsi="仿宋" w:eastAsia="仿宋" w:cs="仿宋_GB2312"/>
          <w:spacing w:val="-3"/>
          <w:sz w:val="32"/>
          <w:szCs w:val="32"/>
        </w:rPr>
        <w:t>元。有条件的盟市可适当提高本地区法律援助补贴标准。</w:t>
      </w:r>
    </w:p>
    <w:p>
      <w:pPr>
        <w:topLinePunct/>
        <w:snapToGrid w:val="0"/>
        <w:spacing w:line="580" w:lineRule="exact"/>
        <w:ind w:firstLine="644"/>
        <w:rPr>
          <w:rFonts w:hint="eastAsia" w:ascii="黑体" w:hAnsi="黑体" w:eastAsia="黑体"/>
          <w:sz w:val="32"/>
          <w:szCs w:val="32"/>
        </w:rPr>
      </w:pPr>
      <w:r>
        <w:rPr>
          <w:rFonts w:hint="eastAsia" w:ascii="黑体" w:hAnsi="黑体" w:eastAsia="黑体"/>
          <w:sz w:val="32"/>
          <w:szCs w:val="32"/>
        </w:rPr>
        <w:t>三、认真做好法律援助各项工作</w:t>
      </w:r>
    </w:p>
    <w:p>
      <w:pPr>
        <w:topLinePunct/>
        <w:snapToGrid w:val="0"/>
        <w:spacing w:line="580" w:lineRule="exact"/>
        <w:ind w:firstLine="640" w:firstLineChars="200"/>
        <w:rPr>
          <w:rFonts w:hint="eastAsia" w:ascii="仿宋" w:hAnsi="仿宋" w:eastAsia="仿宋" w:cs="仿宋_GB2312"/>
          <w:sz w:val="32"/>
          <w:szCs w:val="32"/>
        </w:rPr>
      </w:pPr>
      <w:r>
        <w:rPr>
          <w:rFonts w:hint="eastAsia" w:ascii="楷体" w:hAnsi="楷体" w:eastAsia="楷体" w:cs="黑体"/>
          <w:sz w:val="32"/>
          <w:szCs w:val="32"/>
        </w:rPr>
        <w:t>（一）健全法律援助工作机制。</w:t>
      </w:r>
      <w:r>
        <w:rPr>
          <w:rFonts w:hint="eastAsia" w:ascii="仿宋" w:hAnsi="仿宋" w:eastAsia="仿宋" w:cs="仿宋_GB2312"/>
          <w:spacing w:val="-2"/>
          <w:sz w:val="32"/>
          <w:szCs w:val="32"/>
        </w:rPr>
        <w:t>各级司法行政部门是指导、监督法律援助工作的主管部门，</w:t>
      </w:r>
      <w:r>
        <w:rPr>
          <w:rFonts w:hint="eastAsia" w:ascii="仿宋" w:hAnsi="仿宋" w:eastAsia="仿宋" w:cs="仿宋_GB2312"/>
          <w:sz w:val="32"/>
          <w:szCs w:val="32"/>
        </w:rPr>
        <w:t>法律援助机构承担法律援助的具体工作。</w:t>
      </w:r>
      <w:r>
        <w:rPr>
          <w:rFonts w:hint="eastAsia" w:ascii="仿宋" w:hAnsi="仿宋" w:eastAsia="仿宋" w:cs="仿宋_GB2312"/>
          <w:spacing w:val="-4"/>
          <w:sz w:val="32"/>
          <w:szCs w:val="32"/>
        </w:rPr>
        <w:t>自治区司法厅负责编制全区法律援助工作发展规划并组织实施，指导监督全区涉及法律援助的法律法规和政策执行工作，</w:t>
      </w:r>
      <w:r>
        <w:rPr>
          <w:rFonts w:hint="eastAsia" w:ascii="仿宋" w:hAnsi="仿宋" w:eastAsia="仿宋" w:cs="仿宋_GB2312"/>
          <w:sz w:val="32"/>
          <w:szCs w:val="32"/>
        </w:rPr>
        <w:t>承担全区法律援助机构、法律援助工作人员的监督管理工作，指导社会组织和志愿者开展法律援助工作。自治区法律援助中心负责组织实施法律援助工作，受理、审查法律援助申请，指派律师、基层法律服务工作者、法律援助志愿者等法律援助人员提供法律援助，支付法律援助补贴，组织开展法律援助制度宣传。各级司法行政部门和法律援助机构要认真履行工作职能，保障法律援助工作的开展。</w:t>
      </w:r>
    </w:p>
    <w:p>
      <w:pPr>
        <w:topLinePunct/>
        <w:snapToGrid w:val="0"/>
        <w:spacing w:line="580" w:lineRule="exact"/>
        <w:ind w:firstLine="640" w:firstLineChars="200"/>
        <w:rPr>
          <w:rFonts w:hint="eastAsia" w:ascii="仿宋" w:hAnsi="仿宋" w:eastAsia="仿宋" w:cs="仿宋_GB2312"/>
          <w:sz w:val="32"/>
          <w:szCs w:val="32"/>
        </w:rPr>
      </w:pPr>
      <w:r>
        <w:rPr>
          <w:rFonts w:hint="eastAsia" w:ascii="楷体" w:hAnsi="楷体" w:eastAsia="楷体" w:cs="黑体"/>
          <w:sz w:val="32"/>
          <w:szCs w:val="32"/>
        </w:rPr>
        <w:t>（二）加强机构队伍建设。</w:t>
      </w:r>
      <w:r>
        <w:rPr>
          <w:rFonts w:hint="eastAsia" w:ascii="仿宋" w:hAnsi="仿宋" w:eastAsia="仿宋" w:cs="仿宋_GB2312"/>
          <w:sz w:val="32"/>
          <w:szCs w:val="32"/>
        </w:rPr>
        <w:t>按照《法律援助法》关于“县级以上人民政府司法行政部门应当设立法律援助机构”的要求，要健全法律援助机构，充实人员力量，及时解决工作力量不足等问题。要加强队伍建设，夯实工作基础，强化援助职能，加快推进法律援助队伍革命化、正规化、专业化、职业化建设，鼓励法律援助机构具有律师资格或者法律职业资格的工作人员办案，推进依法依规诚信执业，努力建设一支信念坚定、执法为民、敢于担当、清正廉洁的法律援助队伍。要结合实际，通过专题讲座、培训班、学习研讨会等多种形式，组织开展《法律援助法》学习培训，不断提高工作人员办案的能力和水平。要加大政府购买法律援助服务力度，吸纳社会工作者参与法律援助，鼓励和支持群团组织（工会、共产主义青年团、妇女联合会、残疾人联合会等）、事业单位、社会组织在司法行政部门指导下，依法提供法律援助。各盟市法律援助机构要统筹解决好各旗县（市、区）法律援助律师资源短缺的问题，在农村牧区注重发挥基层法律服务工作者的作用，深入开展法律援助志愿服务行动。</w:t>
      </w:r>
    </w:p>
    <w:p>
      <w:pPr>
        <w:topLinePunct/>
        <w:snapToGrid w:val="0"/>
        <w:spacing w:line="580" w:lineRule="exact"/>
        <w:ind w:firstLine="640" w:firstLineChars="200"/>
        <w:rPr>
          <w:rFonts w:hint="eastAsia" w:ascii="仿宋" w:hAnsi="仿宋" w:eastAsia="仿宋" w:cs="仿宋_GB2312"/>
          <w:spacing w:val="-4"/>
          <w:sz w:val="32"/>
          <w:szCs w:val="32"/>
        </w:rPr>
      </w:pPr>
      <w:r>
        <w:rPr>
          <w:rFonts w:hint="eastAsia" w:ascii="楷体" w:hAnsi="楷体" w:eastAsia="楷体" w:cs="黑体"/>
          <w:sz w:val="32"/>
          <w:szCs w:val="32"/>
        </w:rPr>
        <w:t>（三）降低法律援助门槛。</w:t>
      </w:r>
      <w:r>
        <w:rPr>
          <w:rFonts w:hint="eastAsia" w:ascii="仿宋" w:hAnsi="仿宋" w:eastAsia="仿宋" w:cs="仿宋_GB2312"/>
          <w:sz w:val="32"/>
          <w:szCs w:val="32"/>
        </w:rPr>
        <w:t>综合法律援助资源状况和公民法律援助需求等因素，法律援助经济困难标准为城镇居民最低工资标准和农村牧区常住居民人均可支配收入以下，让法律援助覆盖人群由低保人群扩展至低收入人群，惠及更多困难群众。因自然灾害或者其他不可抗力等原因造成经济困难、无力支付法律服务</w:t>
      </w:r>
      <w:r>
        <w:rPr>
          <w:rFonts w:hint="eastAsia" w:ascii="仿宋" w:hAnsi="仿宋" w:eastAsia="仿宋" w:cs="仿宋_GB2312"/>
          <w:spacing w:val="-4"/>
          <w:sz w:val="32"/>
          <w:szCs w:val="32"/>
        </w:rPr>
        <w:t>费的，视为经济困难；适当放宽特殊、典型案件经济困难标准。法律援助申请人住所地与受理申请的法律援助机构所在地的经济困难标准不一致的，依照受理机构所在地的经济困难标准执行。</w:t>
      </w:r>
    </w:p>
    <w:p>
      <w:pPr>
        <w:topLinePunct/>
        <w:snapToGrid w:val="0"/>
        <w:spacing w:line="580" w:lineRule="exact"/>
        <w:ind w:firstLine="640" w:firstLineChars="200"/>
        <w:rPr>
          <w:rFonts w:hint="eastAsia" w:ascii="仿宋" w:hAnsi="仿宋" w:eastAsia="仿宋" w:cs="仿宋_GB2312"/>
          <w:sz w:val="32"/>
          <w:szCs w:val="32"/>
        </w:rPr>
      </w:pPr>
      <w:r>
        <w:rPr>
          <w:rFonts w:hint="eastAsia" w:ascii="楷体" w:hAnsi="楷体" w:eastAsia="楷体" w:cs="黑体"/>
          <w:sz w:val="32"/>
          <w:szCs w:val="32"/>
        </w:rPr>
        <w:t>（四）完善法律援助便民措施。</w:t>
      </w:r>
      <w:r>
        <w:rPr>
          <w:rFonts w:hint="eastAsia" w:ascii="仿宋" w:hAnsi="仿宋" w:eastAsia="仿宋" w:cs="仿宋_GB2312"/>
          <w:sz w:val="32"/>
          <w:szCs w:val="32"/>
        </w:rPr>
        <w:t>各级法律援助机构要继续扩大法律援助服务网络建设，拓宽法律援助申请渠道，简化法律援助受理、审批程序，全面推行</w:t>
      </w:r>
      <w:r>
        <w:rPr>
          <w:rFonts w:ascii="仿宋" w:hAnsi="仿宋" w:eastAsia="仿宋" w:cs="仿宋_GB2312"/>
          <w:sz w:val="32"/>
          <w:szCs w:val="32"/>
        </w:rPr>
        <w:t>经济困难告知承诺制</w:t>
      </w:r>
      <w:r>
        <w:rPr>
          <w:rFonts w:hint="eastAsia" w:ascii="仿宋" w:hAnsi="仿宋" w:eastAsia="仿宋" w:cs="仿宋_GB2312"/>
          <w:sz w:val="32"/>
          <w:szCs w:val="32"/>
        </w:rPr>
        <w:t>。对于情况紧急的案件，可先行受理，事后补办手续。要不断完善法律援助异地协作机制，方便困难群众异地申请法律援助，健全法律援助与人民调解、行政调解、司法调解的有效衔接机制，促进法律援助便民工作常态化。</w:t>
      </w:r>
    </w:p>
    <w:p>
      <w:pPr>
        <w:topLinePunct/>
        <w:snapToGrid w:val="0"/>
        <w:spacing w:line="580" w:lineRule="exact"/>
        <w:ind w:firstLine="640" w:firstLineChars="200"/>
        <w:rPr>
          <w:rFonts w:hint="eastAsia" w:ascii="仿宋" w:hAnsi="仿宋" w:eastAsia="仿宋" w:cs="仿宋_GB2312"/>
          <w:sz w:val="32"/>
          <w:szCs w:val="32"/>
        </w:rPr>
      </w:pPr>
      <w:r>
        <w:rPr>
          <w:rFonts w:hint="eastAsia" w:ascii="楷体" w:hAnsi="楷体" w:eastAsia="楷体" w:cs="黑体"/>
          <w:sz w:val="32"/>
          <w:szCs w:val="32"/>
        </w:rPr>
        <w:t>（五）提高法律援助服务质量。</w:t>
      </w:r>
      <w:r>
        <w:rPr>
          <w:rFonts w:hint="eastAsia" w:ascii="仿宋" w:hAnsi="仿宋" w:eastAsia="仿宋" w:cs="仿宋_GB2312"/>
          <w:sz w:val="32"/>
          <w:szCs w:val="32"/>
        </w:rPr>
        <w:t>进一步加强全区法律援助规范化建设，结合新形势、新要求，完善办理法律援助案件各个环节的工作程序、工作制度和服务标准。健全法律援助服务质量监督机制，落实法律援助服务质量检查制度、跟踪制度、投诉处理制度。探索建立法律援助服务质量评估体系，提高法律援助规范化管理水平，提高法律援助工作质量和效率，切实为困难群众提供优质、高效的法律援助服务。</w:t>
      </w:r>
    </w:p>
    <w:p>
      <w:pPr>
        <w:topLinePunct/>
        <w:snapToGrid w:val="0"/>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四、切实加强法律援助制度实施保障</w:t>
      </w:r>
    </w:p>
    <w:p>
      <w:pPr>
        <w:topLinePunct/>
        <w:snapToGrid w:val="0"/>
        <w:spacing w:line="580" w:lineRule="exact"/>
        <w:ind w:firstLine="640" w:firstLineChars="200"/>
        <w:rPr>
          <w:rFonts w:hint="eastAsia" w:ascii="仿宋" w:hAnsi="仿宋" w:eastAsia="仿宋" w:cs="仿宋_GB2312"/>
          <w:color w:val="FF0000"/>
          <w:sz w:val="32"/>
          <w:szCs w:val="32"/>
        </w:rPr>
      </w:pPr>
      <w:r>
        <w:rPr>
          <w:rFonts w:hint="eastAsia" w:ascii="楷体" w:hAnsi="楷体" w:eastAsia="楷体" w:cs="黑体"/>
          <w:sz w:val="32"/>
          <w:szCs w:val="32"/>
        </w:rPr>
        <w:t>（一）加强组织领导。</w:t>
      </w:r>
      <w:r>
        <w:rPr>
          <w:rFonts w:hint="eastAsia" w:ascii="仿宋" w:hAnsi="仿宋" w:eastAsia="仿宋" w:cs="仿宋_GB2312"/>
          <w:sz w:val="32"/>
          <w:szCs w:val="32"/>
        </w:rPr>
        <w:t>各级人民政府要持续加强对法律援助工作的组织领导，将法律援助工作摆上重要议事日程，认真研究解决工作中存在的困难和问题，建立并落实工作责任制，切实形成政府主导、有关部门相互配合、社会各界广泛参与的法律援助工作格局，确保法律援助工作各项政策和措施落到实处。</w:t>
      </w:r>
    </w:p>
    <w:p>
      <w:pPr>
        <w:topLinePunct/>
        <w:snapToGrid w:val="0"/>
        <w:spacing w:line="580" w:lineRule="exact"/>
        <w:ind w:firstLine="640"/>
        <w:rPr>
          <w:rFonts w:hint="eastAsia" w:ascii="仿宋" w:hAnsi="仿宋" w:eastAsia="仿宋" w:cs="仿宋_GB2312"/>
          <w:spacing w:val="-4"/>
          <w:sz w:val="32"/>
          <w:szCs w:val="32"/>
        </w:rPr>
      </w:pPr>
      <w:r>
        <w:rPr>
          <w:rFonts w:hint="eastAsia" w:ascii="楷体" w:hAnsi="楷体" w:eastAsia="楷体" w:cs="黑体"/>
          <w:sz w:val="32"/>
          <w:szCs w:val="32"/>
        </w:rPr>
        <w:t>（二）完善经费保障机制。</w:t>
      </w:r>
      <w:r>
        <w:rPr>
          <w:rFonts w:hint="eastAsia" w:ascii="仿宋" w:hAnsi="仿宋" w:eastAsia="仿宋" w:cs="仿宋_GB2312"/>
          <w:spacing w:val="-2"/>
          <w:sz w:val="32"/>
          <w:szCs w:val="32"/>
        </w:rPr>
        <w:t>各地区要科学合理编制预算，根据地方财力状况和法律援助办案数量，合理安排法律援助经费，</w:t>
      </w:r>
      <w:r>
        <w:rPr>
          <w:rFonts w:hint="eastAsia" w:ascii="仿宋" w:hAnsi="仿宋" w:eastAsia="仿宋" w:cs="仿宋_GB2312"/>
          <w:sz w:val="32"/>
          <w:szCs w:val="32"/>
        </w:rPr>
        <w:t>司法行政部门要对法律援助经费实行独立核算。要完善经费保障标准，及时调整重点法律援助业务经费投入，满足刑事案件律师辩护全覆盖等新增法律援助服务需求。要严格经费使用监督，建立经费使用公示制度，接受社会监督，对违反规定使用、截留、挤占、</w:t>
      </w:r>
      <w:r>
        <w:rPr>
          <w:rFonts w:hint="eastAsia" w:ascii="仿宋" w:hAnsi="仿宋" w:eastAsia="仿宋" w:cs="仿宋_GB2312"/>
          <w:spacing w:val="-4"/>
          <w:sz w:val="32"/>
          <w:szCs w:val="32"/>
        </w:rPr>
        <w:t>挪用或者私分法律援助经费的机构和个人，依法依规追究责任。</w:t>
      </w:r>
    </w:p>
    <w:p>
      <w:pPr>
        <w:topLinePunct/>
        <w:snapToGrid w:val="0"/>
        <w:spacing w:line="580" w:lineRule="exact"/>
        <w:ind w:firstLine="640"/>
        <w:rPr>
          <w:rFonts w:hint="eastAsia" w:ascii="仿宋" w:hAnsi="仿宋" w:eastAsia="仿宋" w:cs="仿宋_GB2312"/>
          <w:sz w:val="32"/>
          <w:szCs w:val="32"/>
        </w:rPr>
      </w:pPr>
      <w:r>
        <w:rPr>
          <w:rFonts w:hint="eastAsia" w:ascii="楷体" w:hAnsi="楷体" w:eastAsia="楷体" w:cs="黑体"/>
          <w:sz w:val="32"/>
          <w:szCs w:val="32"/>
        </w:rPr>
        <w:t>（三）加大宣传力度。</w:t>
      </w:r>
      <w:r>
        <w:rPr>
          <w:rFonts w:hint="eastAsia" w:ascii="仿宋" w:hAnsi="仿宋" w:eastAsia="仿宋" w:cs="仿宋_GB2312"/>
          <w:spacing w:val="-2"/>
          <w:sz w:val="32"/>
          <w:szCs w:val="32"/>
        </w:rPr>
        <w:t>要创新宣传方式，精心创作法律援助宣传文化产品，推动《法律援助法》进机关、进乡村、进学校、</w:t>
      </w:r>
      <w:r>
        <w:rPr>
          <w:rFonts w:hint="eastAsia" w:ascii="仿宋" w:hAnsi="仿宋" w:eastAsia="仿宋" w:cs="仿宋_GB2312"/>
          <w:sz w:val="32"/>
          <w:szCs w:val="32"/>
        </w:rPr>
        <w:t>进社区、进企业、进单位、进家庭，让法律走到群众身边，方便群众及时获得法律援助。落实“谁执法谁普法”普法责任制，将《法律援助法》纳入“八五”普法工作重点内容，公安、民政、人力资源社会保障等有关部门要加强沟通协调，明确任务职责，建立公益宣传机制，讲好法律援助故事，为法律援助制度落地见效营造良好氛围。</w:t>
      </w:r>
    </w:p>
    <w:p>
      <w:pPr>
        <w:topLinePunct/>
        <w:snapToGrid w:val="0"/>
        <w:spacing w:line="580" w:lineRule="exact"/>
        <w:ind w:firstLine="640"/>
        <w:rPr>
          <w:rFonts w:ascii="仿宋" w:hAnsi="仿宋" w:eastAsia="仿宋" w:cs="仿宋_GB2312"/>
          <w:sz w:val="32"/>
          <w:szCs w:val="32"/>
        </w:rPr>
      </w:pPr>
      <w:r>
        <w:rPr>
          <w:rFonts w:hint="eastAsia" w:ascii="仿宋" w:hAnsi="仿宋" w:eastAsia="仿宋" w:cs="仿宋_GB2312"/>
          <w:sz w:val="32"/>
          <w:szCs w:val="32"/>
        </w:rPr>
        <w:t>本《意见》自</w:t>
      </w:r>
      <w:r>
        <w:rPr>
          <w:rFonts w:hint="eastAsia" w:ascii="仿宋" w:hAnsi="仿宋" w:eastAsia="仿宋"/>
          <w:sz w:val="32"/>
          <w:szCs w:val="32"/>
        </w:rPr>
        <w:t>印发之日起</w:t>
      </w:r>
      <w:r>
        <w:rPr>
          <w:rFonts w:ascii="仿宋" w:hAnsi="仿宋" w:eastAsia="仿宋"/>
          <w:sz w:val="32"/>
          <w:szCs w:val="32"/>
        </w:rPr>
        <w:t>施行。《</w:t>
      </w:r>
      <w:r>
        <w:rPr>
          <w:rFonts w:hint="eastAsia" w:ascii="仿宋" w:hAnsi="仿宋" w:eastAsia="仿宋"/>
          <w:sz w:val="32"/>
          <w:szCs w:val="32"/>
        </w:rPr>
        <w:t>内蒙古自治区人民政府</w:t>
      </w:r>
      <w:r>
        <w:rPr>
          <w:rFonts w:ascii="仿宋" w:hAnsi="仿宋" w:eastAsia="仿宋"/>
          <w:sz w:val="32"/>
          <w:szCs w:val="32"/>
        </w:rPr>
        <w:t>关于进一步加强法律援助工作的意见》（内政发〔2010〕9号</w:t>
      </w:r>
      <w:r>
        <w:rPr>
          <w:rFonts w:hint="eastAsia" w:ascii="仿宋" w:hAnsi="仿宋" w:eastAsia="仿宋" w:cs="仿宋_GB2312"/>
          <w:sz w:val="32"/>
          <w:szCs w:val="32"/>
        </w:rPr>
        <w:t>）同时废止。</w:t>
      </w:r>
    </w:p>
    <w:p>
      <w:pPr>
        <w:topLinePunct/>
        <w:snapToGrid w:val="0"/>
        <w:spacing w:line="580" w:lineRule="exact"/>
        <w:ind w:firstLine="640"/>
        <w:rPr>
          <w:rFonts w:ascii="仿宋" w:hAnsi="仿宋" w:eastAsia="仿宋" w:cs="仿宋_GB2312"/>
          <w:sz w:val="32"/>
          <w:szCs w:val="32"/>
        </w:rPr>
      </w:pPr>
    </w:p>
    <w:p>
      <w:pPr>
        <w:topLinePunct/>
        <w:snapToGrid w:val="0"/>
        <w:spacing w:line="580" w:lineRule="exact"/>
        <w:ind w:firstLine="640"/>
        <w:rPr>
          <w:rFonts w:ascii="仿宋" w:hAnsi="仿宋" w:eastAsia="仿宋" w:cs="仿宋_GB2312"/>
          <w:sz w:val="32"/>
          <w:szCs w:val="32"/>
        </w:rPr>
      </w:pPr>
    </w:p>
    <w:p>
      <w:pPr>
        <w:topLinePunct/>
        <w:snapToGrid w:val="0"/>
        <w:spacing w:line="580" w:lineRule="exact"/>
        <w:ind w:firstLine="640"/>
        <w:rPr>
          <w:rFonts w:ascii="仿宋" w:hAnsi="仿宋" w:eastAsia="仿宋" w:cs="仿宋_GB2312"/>
          <w:sz w:val="32"/>
          <w:szCs w:val="32"/>
        </w:rPr>
      </w:pPr>
    </w:p>
    <w:p>
      <w:pPr>
        <w:topLinePunct/>
        <w:snapToGrid w:val="0"/>
        <w:spacing w:line="580" w:lineRule="exact"/>
        <w:ind w:firstLine="640"/>
        <w:rPr>
          <w:rFonts w:hint="eastAsia" w:ascii="仿宋" w:hAnsi="仿宋" w:eastAsia="仿宋" w:cs="仿宋_GB2312"/>
          <w:sz w:val="32"/>
          <w:szCs w:val="32"/>
        </w:rPr>
      </w:pPr>
    </w:p>
    <w:p>
      <w:pPr>
        <w:topLinePunct/>
        <w:snapToGrid w:val="0"/>
        <w:spacing w:line="580" w:lineRule="exact"/>
        <w:ind w:right="1302" w:rightChars="620"/>
        <w:jc w:val="right"/>
        <w:rPr>
          <w:rFonts w:hint="eastAsia" w:ascii="仿宋" w:hAnsi="仿宋" w:eastAsia="仿宋" w:cs="仿宋_GB2312"/>
          <w:sz w:val="32"/>
          <w:szCs w:val="32"/>
        </w:rPr>
      </w:pPr>
      <w:r>
        <w:rPr>
          <w:rFonts w:hint="eastAsia" w:ascii="仿宋" w:hAnsi="仿宋" w:eastAsia="仿宋" w:cs="仿宋_GB2312"/>
          <w:sz w:val="32"/>
          <w:szCs w:val="32"/>
        </w:rPr>
        <w:t xml:space="preserve">                               </w:t>
      </w:r>
      <w:r>
        <w:rPr>
          <w:rFonts w:ascii="仿宋" w:hAnsi="仿宋" w:eastAsia="仿宋" w:cs="仿宋_GB2312"/>
          <w:sz w:val="32"/>
          <w:szCs w:val="32"/>
        </w:rPr>
        <w:t>2023</w:t>
      </w:r>
      <w:r>
        <w:rPr>
          <w:rFonts w:ascii="仿宋" w:hAnsi="仿宋" w:eastAsia="仿宋"/>
          <w:sz w:val="32"/>
          <w:szCs w:val="32"/>
        </w:rPr>
        <w:t>年</w:t>
      </w:r>
      <w:r>
        <w:rPr>
          <w:rFonts w:hint="eastAsia" w:ascii="仿宋" w:hAnsi="仿宋" w:eastAsia="仿宋" w:cs="仿宋_GB2312"/>
          <w:sz w:val="32"/>
          <w:szCs w:val="32"/>
        </w:rPr>
        <w:t>2月16日</w:t>
      </w:r>
    </w:p>
    <w:p>
      <w:pPr>
        <w:topLinePunct/>
        <w:snapToGrid w:val="0"/>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（此件公开发布）</w:t>
      </w:r>
    </w:p>
    <w:p>
      <w:pPr>
        <w:topLinePunct/>
        <w:snapToGrid w:val="0"/>
        <w:spacing w:line="580" w:lineRule="exact"/>
        <w:ind w:firstLine="640" w:firstLineChars="200"/>
        <w:rPr>
          <w:rFonts w:hint="eastAsia" w:ascii="仿宋" w:hAnsi="仿宋" w:eastAsia="仿宋" w:cs="仿宋_GB2312"/>
          <w:sz w:val="32"/>
          <w:szCs w:val="32"/>
        </w:rPr>
      </w:pPr>
    </w:p>
    <w:bookmarkEnd w:id="4"/>
    <w:p>
      <w:pPr>
        <w:topLinePunct/>
        <w:snapToGrid w:val="0"/>
        <w:spacing w:line="400" w:lineRule="exact"/>
        <w:ind w:firstLine="640" w:firstLineChars="200"/>
        <w:rPr>
          <w:rFonts w:hint="eastAsia" w:ascii="仿宋" w:hAnsi="仿宋" w:eastAsia="仿宋" w:cs="仿宋_GB2312"/>
          <w:sz w:val="32"/>
          <w:szCs w:val="32"/>
        </w:rPr>
      </w:pPr>
    </w:p>
    <w:p>
      <w:pPr>
        <w:topLinePunct/>
        <w:snapToGrid w:val="0"/>
        <w:spacing w:line="580" w:lineRule="exact"/>
        <w:ind w:firstLine="640" w:firstLineChars="200"/>
        <w:rPr>
          <w:rFonts w:hint="eastAsia" w:ascii="仿宋" w:hAnsi="仿宋" w:eastAsia="仿宋" w:cs="仿宋_GB2312"/>
          <w:sz w:val="32"/>
          <w:szCs w:val="32"/>
        </w:rPr>
      </w:pPr>
    </w:p>
    <w:p>
      <w:pPr>
        <w:topLinePunct/>
        <w:adjustRightInd w:val="0"/>
        <w:snapToGrid w:val="0"/>
        <w:spacing w:line="300" w:lineRule="exact"/>
        <w:rPr>
          <w:rFonts w:ascii="仿宋" w:hAnsi="仿宋" w:eastAsia="仿宋"/>
          <w:sz w:val="32"/>
          <w:szCs w:val="32"/>
        </w:rPr>
      </w:pPr>
    </w:p>
    <w:p>
      <w:pPr>
        <w:topLinePunct/>
        <w:adjustRightInd w:val="0"/>
        <w:snapToGrid w:val="0"/>
        <w:spacing w:line="400" w:lineRule="exact"/>
        <w:rPr>
          <w:rFonts w:ascii="仿宋" w:hAnsi="仿宋" w:eastAsia="仿宋"/>
          <w:sz w:val="32"/>
          <w:szCs w:val="32"/>
        </w:rPr>
      </w:pPr>
    </w:p>
    <w:p>
      <w:pPr>
        <w:topLinePunct/>
        <w:adjustRightInd w:val="0"/>
        <w:snapToGrid w:val="0"/>
        <w:spacing w:line="400" w:lineRule="exact"/>
        <w:rPr>
          <w:rFonts w:ascii="仿宋" w:hAnsi="仿宋" w:eastAsia="仿宋"/>
          <w:sz w:val="32"/>
          <w:szCs w:val="32"/>
        </w:rPr>
      </w:pPr>
    </w:p>
    <w:p>
      <w:pPr>
        <w:topLinePunct/>
        <w:adjustRightInd w:val="0"/>
        <w:snapToGrid w:val="0"/>
        <w:spacing w:line="400" w:lineRule="exact"/>
        <w:rPr>
          <w:rFonts w:hint="eastAsia" w:ascii="仿宋" w:hAnsi="仿宋" w:eastAsia="仿宋"/>
          <w:sz w:val="32"/>
          <w:szCs w:val="32"/>
        </w:rPr>
      </w:pPr>
    </w:p>
    <w:p>
      <w:pPr>
        <w:topLinePunct/>
        <w:adjustRightInd w:val="0"/>
        <w:snapToGrid w:val="0"/>
        <w:spacing w:line="400" w:lineRule="exact"/>
        <w:rPr>
          <w:rFonts w:hint="eastAsia" w:ascii="仿宋" w:hAnsi="仿宋" w:eastAsia="仿宋"/>
          <w:sz w:val="32"/>
          <w:szCs w:val="32"/>
        </w:rPr>
      </w:pPr>
    </w:p>
    <w:p>
      <w:pPr>
        <w:topLinePunct/>
        <w:adjustRightInd w:val="0"/>
        <w:snapToGrid w:val="0"/>
        <w:spacing w:line="400" w:lineRule="exact"/>
        <w:rPr>
          <w:rFonts w:hint="eastAsia" w:ascii="仿宋" w:hAnsi="仿宋" w:eastAsia="仿宋"/>
          <w:sz w:val="32"/>
          <w:szCs w:val="32"/>
        </w:rPr>
      </w:pPr>
    </w:p>
    <w:p>
      <w:pPr>
        <w:topLinePunct/>
        <w:adjustRightInd w:val="0"/>
        <w:snapToGrid w:val="0"/>
        <w:spacing w:line="400" w:lineRule="exact"/>
        <w:rPr>
          <w:rFonts w:hint="eastAsia" w:ascii="仿宋" w:hAnsi="仿宋" w:eastAsia="仿宋"/>
          <w:sz w:val="32"/>
          <w:szCs w:val="32"/>
        </w:rPr>
      </w:pPr>
    </w:p>
    <w:p>
      <w:pPr>
        <w:topLinePunct/>
        <w:adjustRightInd w:val="0"/>
        <w:snapToGrid w:val="0"/>
        <w:spacing w:line="400" w:lineRule="exact"/>
        <w:rPr>
          <w:rFonts w:hint="eastAsia" w:ascii="仿宋" w:hAnsi="仿宋" w:eastAsia="仿宋"/>
          <w:sz w:val="32"/>
          <w:szCs w:val="32"/>
        </w:rPr>
      </w:pPr>
    </w:p>
    <w:p>
      <w:pPr>
        <w:topLinePunct/>
        <w:adjustRightInd w:val="0"/>
        <w:snapToGrid w:val="0"/>
        <w:spacing w:line="400" w:lineRule="exact"/>
        <w:rPr>
          <w:rFonts w:hint="eastAsia" w:ascii="仿宋" w:hAnsi="仿宋" w:eastAsia="仿宋"/>
          <w:sz w:val="32"/>
          <w:szCs w:val="32"/>
        </w:rPr>
      </w:pPr>
    </w:p>
    <w:p>
      <w:pPr>
        <w:topLinePunct/>
        <w:adjustRightInd w:val="0"/>
        <w:snapToGrid w:val="0"/>
        <w:spacing w:line="400" w:lineRule="exact"/>
        <w:rPr>
          <w:rFonts w:hint="eastAsia" w:ascii="仿宋" w:hAnsi="仿宋" w:eastAsia="仿宋"/>
          <w:sz w:val="32"/>
          <w:szCs w:val="32"/>
        </w:rPr>
      </w:pPr>
    </w:p>
    <w:p>
      <w:pPr>
        <w:topLinePunct/>
        <w:adjustRightInd w:val="0"/>
        <w:snapToGrid w:val="0"/>
        <w:spacing w:line="400" w:lineRule="exact"/>
        <w:rPr>
          <w:rFonts w:hint="eastAsia" w:ascii="仿宋" w:hAnsi="仿宋" w:eastAsia="仿宋"/>
          <w:sz w:val="32"/>
          <w:szCs w:val="32"/>
        </w:rPr>
      </w:pPr>
    </w:p>
    <w:p>
      <w:pPr>
        <w:topLinePunct/>
        <w:adjustRightInd w:val="0"/>
        <w:snapToGrid w:val="0"/>
        <w:spacing w:line="400" w:lineRule="exact"/>
        <w:rPr>
          <w:rFonts w:hint="eastAsia" w:ascii="仿宋" w:hAnsi="仿宋" w:eastAsia="仿宋"/>
          <w:sz w:val="32"/>
          <w:szCs w:val="32"/>
        </w:rPr>
      </w:pPr>
    </w:p>
    <w:p>
      <w:pPr>
        <w:topLinePunct/>
        <w:adjustRightInd w:val="0"/>
        <w:snapToGrid w:val="0"/>
        <w:spacing w:line="400" w:lineRule="exact"/>
        <w:rPr>
          <w:rFonts w:hint="eastAsia" w:ascii="仿宋" w:hAnsi="仿宋" w:eastAsia="仿宋"/>
          <w:sz w:val="32"/>
          <w:szCs w:val="32"/>
        </w:rPr>
      </w:pPr>
    </w:p>
    <w:p>
      <w:pPr>
        <w:topLinePunct/>
        <w:adjustRightInd w:val="0"/>
        <w:snapToGrid w:val="0"/>
        <w:spacing w:line="400" w:lineRule="exact"/>
        <w:rPr>
          <w:rFonts w:hint="eastAsia" w:ascii="仿宋" w:hAnsi="仿宋" w:eastAsia="仿宋"/>
          <w:sz w:val="32"/>
          <w:szCs w:val="32"/>
        </w:rPr>
      </w:pPr>
    </w:p>
    <w:p>
      <w:pPr>
        <w:topLinePunct/>
        <w:adjustRightInd w:val="0"/>
        <w:snapToGrid w:val="0"/>
        <w:spacing w:line="400" w:lineRule="exact"/>
        <w:rPr>
          <w:rFonts w:hint="eastAsia" w:ascii="仿宋" w:hAnsi="仿宋" w:eastAsia="仿宋"/>
          <w:sz w:val="32"/>
          <w:szCs w:val="32"/>
        </w:rPr>
      </w:pPr>
    </w:p>
    <w:p>
      <w:pPr>
        <w:topLinePunct/>
        <w:adjustRightInd w:val="0"/>
        <w:snapToGrid w:val="0"/>
        <w:spacing w:line="400" w:lineRule="exact"/>
        <w:rPr>
          <w:rFonts w:hint="eastAsia" w:ascii="仿宋" w:hAnsi="仿宋" w:eastAsia="仿宋"/>
          <w:sz w:val="32"/>
          <w:szCs w:val="32"/>
        </w:rPr>
      </w:pPr>
    </w:p>
    <w:p>
      <w:pPr>
        <w:topLinePunct/>
        <w:adjustRightInd w:val="0"/>
        <w:snapToGrid w:val="0"/>
        <w:spacing w:line="400" w:lineRule="exact"/>
        <w:rPr>
          <w:rFonts w:hint="eastAsia" w:ascii="仿宋" w:hAnsi="仿宋" w:eastAsia="仿宋"/>
          <w:sz w:val="32"/>
          <w:szCs w:val="32"/>
        </w:rPr>
      </w:pPr>
    </w:p>
    <w:p>
      <w:pPr>
        <w:topLinePunct/>
        <w:adjustRightInd w:val="0"/>
        <w:snapToGrid w:val="0"/>
        <w:spacing w:line="400" w:lineRule="exact"/>
        <w:rPr>
          <w:rFonts w:hint="eastAsia" w:ascii="仿宋" w:hAnsi="仿宋" w:eastAsia="仿宋"/>
          <w:sz w:val="32"/>
          <w:szCs w:val="32"/>
        </w:rPr>
      </w:pPr>
    </w:p>
    <w:p>
      <w:pPr>
        <w:topLinePunct/>
        <w:adjustRightInd w:val="0"/>
        <w:snapToGrid w:val="0"/>
        <w:spacing w:line="400" w:lineRule="exact"/>
        <w:rPr>
          <w:rFonts w:hint="eastAsia" w:ascii="仿宋" w:hAnsi="仿宋" w:eastAsia="仿宋"/>
          <w:sz w:val="32"/>
          <w:szCs w:val="32"/>
        </w:rPr>
      </w:pPr>
    </w:p>
    <w:p>
      <w:pPr>
        <w:topLinePunct/>
        <w:adjustRightInd w:val="0"/>
        <w:snapToGrid w:val="0"/>
        <w:spacing w:line="580" w:lineRule="exact"/>
        <w:ind w:firstLine="640" w:firstLineChars="200"/>
        <w:rPr>
          <w:rFonts w:hint="eastAsia" w:ascii="仿宋" w:hAnsi="仿宋" w:eastAsia="仿宋"/>
          <w:sz w:val="32"/>
          <w:szCs w:val="32"/>
        </w:rPr>
      </w:pPr>
    </w:p>
    <w:p>
      <w:pPr>
        <w:topLinePunct/>
        <w:adjustRightInd w:val="0"/>
        <w:snapToGrid w:val="0"/>
        <w:spacing w:line="580" w:lineRule="exact"/>
        <w:rPr>
          <w:rFonts w:hint="eastAsia" w:ascii="仿宋" w:hAnsi="仿宋" w:eastAsia="仿宋"/>
          <w:sz w:val="32"/>
          <w:szCs w:val="32"/>
        </w:rPr>
      </w:pPr>
    </w:p>
    <w:tbl>
      <w:tblPr>
        <w:tblStyle w:val="8"/>
        <w:tblpPr w:leftFromText="180" w:rightFromText="180" w:vertAnchor="text" w:horzAnchor="margin" w:tblpY="519"/>
        <w:tblW w:w="9032" w:type="dxa"/>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261"/>
        <w:gridCol w:w="3771"/>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PrEx>
        <w:trPr>
          <w:trHeight w:val="1813" w:hRule="atLeast"/>
        </w:trPr>
        <w:tc>
          <w:tcPr>
            <w:tcW w:w="9032" w:type="dxa"/>
            <w:gridSpan w:val="2"/>
            <w:tcBorders>
              <w:top w:val="single" w:color="auto" w:sz="12" w:space="0"/>
              <w:bottom w:val="single" w:color="auto" w:sz="4" w:space="0"/>
            </w:tcBorders>
            <w:noWrap w:val="0"/>
            <w:tcMar>
              <w:left w:w="0" w:type="dxa"/>
              <w:right w:w="0" w:type="dxa"/>
            </w:tcMar>
            <w:vAlign w:val="top"/>
          </w:tcPr>
          <w:p>
            <w:pPr>
              <w:topLinePunct/>
              <w:spacing w:line="480" w:lineRule="exact"/>
              <w:ind w:left="210" w:leftChars="100" w:right="210" w:rightChars="100"/>
              <w:rPr>
                <w:rFonts w:ascii="仿宋" w:hAnsi="仿宋" w:eastAsia="仿宋" w:cs="方正仿宋_GBK"/>
                <w:sz w:val="28"/>
                <w:szCs w:val="28"/>
              </w:rPr>
            </w:pPr>
            <w:r>
              <w:rPr>
                <w:rFonts w:hint="eastAsia" w:ascii="仿宋" w:hAnsi="仿宋" w:eastAsia="仿宋"/>
                <w:sz w:val="28"/>
                <w:szCs w:val="28"/>
              </w:rPr>
              <w:t>抄送：</w:t>
            </w:r>
            <w:bookmarkStart w:id="2" w:name="抄送单位"/>
            <w:bookmarkEnd w:id="2"/>
            <w:r>
              <w:rPr>
                <w:rFonts w:hint="eastAsia" w:ascii="仿宋" w:hAnsi="仿宋" w:eastAsia="仿宋" w:cs="方正仿宋_GBK"/>
                <w:sz w:val="28"/>
                <w:szCs w:val="28"/>
              </w:rPr>
              <w:t>自治区党委各部门，内蒙古军区，武警内蒙古总队。</w:t>
            </w:r>
          </w:p>
          <w:p>
            <w:pPr>
              <w:topLinePunct/>
              <w:spacing w:line="400" w:lineRule="exact"/>
              <w:ind w:left="1050" w:leftChars="100" w:right="210" w:rightChars="100" w:hanging="840" w:hangingChars="300"/>
              <w:rPr>
                <w:rFonts w:ascii="仿宋" w:hAnsi="仿宋" w:eastAsia="仿宋" w:cs="方正仿宋_GBK"/>
                <w:sz w:val="28"/>
                <w:szCs w:val="28"/>
              </w:rPr>
            </w:pPr>
            <w:r>
              <w:rPr>
                <w:rFonts w:hint="eastAsia" w:ascii="仿宋" w:hAnsi="仿宋" w:eastAsia="仿宋" w:cs="方正仿宋_GBK"/>
                <w:sz w:val="28"/>
                <w:szCs w:val="28"/>
              </w:rPr>
              <w:t xml:space="preserve">      自治区人大常委会办公厅、政协办公厅，自治区监委，自治区高级人民法院，检察院。</w:t>
            </w:r>
          </w:p>
          <w:p>
            <w:pPr>
              <w:topLinePunct/>
              <w:spacing w:line="400" w:lineRule="exact"/>
              <w:ind w:left="1050" w:leftChars="100" w:right="210" w:rightChars="100" w:hanging="840" w:hangingChars="300"/>
              <w:rPr>
                <w:rFonts w:hint="eastAsia" w:ascii="仿宋" w:hAnsi="仿宋" w:eastAsia="仿宋" w:cs="方正仿宋_GBK"/>
                <w:sz w:val="28"/>
                <w:szCs w:val="28"/>
              </w:rPr>
            </w:pPr>
            <w:r>
              <w:rPr>
                <w:rFonts w:hint="eastAsia" w:ascii="仿宋" w:hAnsi="仿宋" w:eastAsia="仿宋" w:cs="方正仿宋_GBK"/>
                <w:sz w:val="28"/>
                <w:szCs w:val="28"/>
              </w:rPr>
              <w:t xml:space="preserve">      各人民团体，新闻单位</w:t>
            </w:r>
            <w:r>
              <w:rPr>
                <w:rFonts w:hint="eastAsia" w:ascii="仿宋" w:hAnsi="仿宋" w:eastAsia="仿宋"/>
                <w:sz w:val="28"/>
                <w:szCs w:val="28"/>
              </w:rPr>
              <w:t>。</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5261" w:type="dxa"/>
            <w:tcBorders>
              <w:top w:val="single" w:color="auto" w:sz="4" w:space="0"/>
              <w:bottom w:val="single" w:color="auto" w:sz="12" w:space="0"/>
              <w:right w:val="nil"/>
            </w:tcBorders>
            <w:noWrap w:val="0"/>
            <w:tcMar>
              <w:left w:w="0" w:type="dxa"/>
              <w:right w:w="0" w:type="dxa"/>
            </w:tcMar>
            <w:vAlign w:val="top"/>
          </w:tcPr>
          <w:p>
            <w:pPr>
              <w:tabs>
                <w:tab w:val="left" w:pos="486"/>
              </w:tabs>
              <w:wordWrap w:val="0"/>
              <w:topLinePunct/>
              <w:adjustRightInd w:val="0"/>
              <w:snapToGrid w:val="0"/>
              <w:spacing w:line="480" w:lineRule="exact"/>
              <w:ind w:right="210" w:rightChars="100"/>
              <w:rPr>
                <w:rFonts w:hint="eastAsia" w:ascii="仿宋" w:hAnsi="仿宋" w:eastAsia="仿宋"/>
                <w:sz w:val="28"/>
                <w:szCs w:val="28"/>
              </w:rPr>
            </w:pPr>
            <w:r>
              <w:rPr>
                <w:rFonts w:hint="eastAsia" w:ascii="仿宋" w:hAnsi="仿宋" w:eastAsia="仿宋" w:cs="Arial"/>
                <w:kern w:val="0"/>
                <w:sz w:val="28"/>
                <w:szCs w:val="28"/>
              </w:rPr>
              <w:t xml:space="preserve">  内蒙古自治区人民政府办公厅文电处</w:t>
            </w:r>
          </w:p>
        </w:tc>
        <w:tc>
          <w:tcPr>
            <w:tcW w:w="3771" w:type="dxa"/>
            <w:tcBorders>
              <w:top w:val="single" w:color="auto" w:sz="4" w:space="0"/>
              <w:left w:val="nil"/>
              <w:bottom w:val="single" w:color="auto" w:sz="12" w:space="0"/>
            </w:tcBorders>
            <w:noWrap w:val="0"/>
            <w:tcMar>
              <w:left w:w="0" w:type="dxa"/>
              <w:right w:w="0" w:type="dxa"/>
            </w:tcMar>
            <w:vAlign w:val="top"/>
          </w:tcPr>
          <w:p>
            <w:pPr>
              <w:wordWrap w:val="0"/>
              <w:topLinePunct/>
              <w:adjustRightInd w:val="0"/>
              <w:snapToGrid w:val="0"/>
              <w:spacing w:line="480" w:lineRule="exact"/>
              <w:ind w:left="210" w:leftChars="100" w:right="210" w:rightChars="100"/>
              <w:jc w:val="right"/>
              <w:rPr>
                <w:rFonts w:hint="eastAsia" w:ascii="仿宋" w:hAnsi="仿宋" w:eastAsia="仿宋"/>
                <w:sz w:val="28"/>
                <w:szCs w:val="28"/>
              </w:rPr>
            </w:pPr>
            <w:bookmarkStart w:id="3" w:name="印发日期"/>
            <w:bookmarkEnd w:id="3"/>
            <w:r>
              <w:rPr>
                <w:rFonts w:hint="eastAsia" w:ascii="仿宋" w:hAnsi="仿宋" w:eastAsia="仿宋"/>
                <w:sz w:val="28"/>
                <w:szCs w:val="28"/>
              </w:rPr>
              <w:t>2023年2月24日印发</w:t>
            </w:r>
          </w:p>
        </w:tc>
      </w:tr>
    </w:tbl>
    <w:p>
      <w:pPr>
        <w:wordWrap w:val="0"/>
        <w:topLinePunct/>
        <w:spacing w:line="240" w:lineRule="exact"/>
        <w:rPr>
          <w:rFonts w:hint="eastAsia" w:ascii="仿宋" w:hAnsi="仿宋" w:eastAsia="仿宋"/>
          <w:sz w:val="32"/>
          <w:szCs w:val="32"/>
        </w:rPr>
      </w:pPr>
    </w:p>
    <w:sectPr>
      <w:headerReference r:id="rId3" w:type="default"/>
      <w:footerReference r:id="rId5" w:type="default"/>
      <w:headerReference r:id="rId4" w:type="even"/>
      <w:footerReference r:id="rId6" w:type="even"/>
      <w:pgSz w:w="11906" w:h="16838"/>
      <w:pgMar w:top="2098" w:right="1474" w:bottom="1701" w:left="1474" w:header="851" w:footer="141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2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452"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lang/>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2" w:y="-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- 2 -</w:t>
    </w:r>
    <w:r>
      <w:rPr>
        <w:rFonts w:ascii="宋体" w:hAnsi="宋体"/>
        <w:sz w:val="28"/>
        <w:szCs w:val="28"/>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646"/>
    <w:rsid w:val="0003284C"/>
    <w:rsid w:val="00085643"/>
    <w:rsid w:val="0008611E"/>
    <w:rsid w:val="00097C81"/>
    <w:rsid w:val="000C7B59"/>
    <w:rsid w:val="000F49EA"/>
    <w:rsid w:val="00135857"/>
    <w:rsid w:val="00147A06"/>
    <w:rsid w:val="0017105E"/>
    <w:rsid w:val="00240011"/>
    <w:rsid w:val="00242A48"/>
    <w:rsid w:val="00271EFA"/>
    <w:rsid w:val="002B10B7"/>
    <w:rsid w:val="00302982"/>
    <w:rsid w:val="003204F2"/>
    <w:rsid w:val="0033629C"/>
    <w:rsid w:val="003A3121"/>
    <w:rsid w:val="003A410D"/>
    <w:rsid w:val="003B6163"/>
    <w:rsid w:val="003D5CFD"/>
    <w:rsid w:val="004847F6"/>
    <w:rsid w:val="004A17DA"/>
    <w:rsid w:val="004A468A"/>
    <w:rsid w:val="00510809"/>
    <w:rsid w:val="00524399"/>
    <w:rsid w:val="005B0B8F"/>
    <w:rsid w:val="00600F2E"/>
    <w:rsid w:val="006101BC"/>
    <w:rsid w:val="00650291"/>
    <w:rsid w:val="0068233A"/>
    <w:rsid w:val="007562BD"/>
    <w:rsid w:val="0075666B"/>
    <w:rsid w:val="00756F77"/>
    <w:rsid w:val="00794CF5"/>
    <w:rsid w:val="007D67A7"/>
    <w:rsid w:val="0083186D"/>
    <w:rsid w:val="008408A0"/>
    <w:rsid w:val="008827B1"/>
    <w:rsid w:val="008D1311"/>
    <w:rsid w:val="00913DB1"/>
    <w:rsid w:val="009809F5"/>
    <w:rsid w:val="00A03192"/>
    <w:rsid w:val="00A03333"/>
    <w:rsid w:val="00A422ED"/>
    <w:rsid w:val="00A80CEC"/>
    <w:rsid w:val="00A85F2C"/>
    <w:rsid w:val="00AB14D9"/>
    <w:rsid w:val="00AD48A9"/>
    <w:rsid w:val="00B9077A"/>
    <w:rsid w:val="00B92FF0"/>
    <w:rsid w:val="00BD6E43"/>
    <w:rsid w:val="00C058DD"/>
    <w:rsid w:val="00C23D1C"/>
    <w:rsid w:val="00C84999"/>
    <w:rsid w:val="00CF51A5"/>
    <w:rsid w:val="00D53740"/>
    <w:rsid w:val="00DF6480"/>
    <w:rsid w:val="00E14202"/>
    <w:rsid w:val="00E9272E"/>
    <w:rsid w:val="00ED5D8B"/>
    <w:rsid w:val="00ED7646"/>
    <w:rsid w:val="00EF0A90"/>
    <w:rsid w:val="00EF5668"/>
    <w:rsid w:val="00F017E0"/>
    <w:rsid w:val="00F3123C"/>
    <w:rsid w:val="00F55D36"/>
    <w:rsid w:val="00F71128"/>
    <w:rsid w:val="00F76045"/>
    <w:rsid w:val="0F6E701B"/>
    <w:rsid w:val="1F48029C"/>
    <w:rsid w:val="28B640A0"/>
    <w:rsid w:val="2D4D7514"/>
    <w:rsid w:val="370A6D13"/>
    <w:rsid w:val="4BA14FC0"/>
    <w:rsid w:val="5FFC10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next w:val="1"/>
    <w:link w:val="12"/>
    <w:qFormat/>
    <w:uiPriority w:val="0"/>
    <w:pPr>
      <w:widowControl w:val="0"/>
      <w:spacing w:before="312" w:beforeLines="100" w:after="312" w:afterLines="100"/>
      <w:jc w:val="center"/>
      <w:outlineLvl w:val="0"/>
    </w:pPr>
    <w:rPr>
      <w:rFonts w:ascii="宋体" w:hAnsi="宋体" w:eastAsia="黑体" w:cs="宋体"/>
      <w:b/>
      <w:bCs/>
      <w:kern w:val="36"/>
      <w:sz w:val="32"/>
      <w:szCs w:val="22"/>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Date"/>
    <w:basedOn w:val="1"/>
    <w:next w:val="1"/>
    <w:uiPriority w:val="0"/>
    <w:pPr>
      <w:ind w:left="100" w:leftChars="2500"/>
    </w:pPr>
    <w:rPr>
      <w:rFonts w:ascii="仿宋_GB2312" w:eastAsia="仿宋_GB2312"/>
      <w:sz w:val="32"/>
    </w:r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uiPriority w:val="0"/>
  </w:style>
  <w:style w:type="character" w:customStyle="1" w:styleId="12">
    <w:name w:val="标题 1 字符"/>
    <w:link w:val="2"/>
    <w:uiPriority w:val="0"/>
    <w:rPr>
      <w:rFonts w:ascii="宋体" w:hAnsi="宋体" w:eastAsia="黑体" w:cs="宋体"/>
      <w:b/>
      <w:bCs/>
      <w:kern w:val="36"/>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8</Pages>
  <Words>565</Words>
  <Characters>3227</Characters>
  <Lines>26</Lines>
  <Paragraphs>7</Paragraphs>
  <TotalTime>6</TotalTime>
  <ScaleCrop>false</ScaleCrop>
  <LinksUpToDate>false</LinksUpToDate>
  <CharactersWithSpaces>3785</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2012-09-18T13:07:00Z</dcterms:created>
  <dc:creator>王蕾:打印</dc:creator>
  <cp:lastModifiedBy>zwfw</cp:lastModifiedBy>
  <cp:lastPrinted>2023-02-28T10:15:00Z</cp:lastPrinted>
  <dcterms:modified xsi:type="dcterms:W3CDTF">2023-03-02T07:29:06Z</dcterms:modified>
  <dc:title>_x0001_</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